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60845414"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0418DD">
        <w:rPr>
          <w:bCs/>
          <w:noProof w:val="0"/>
          <w:sz w:val="24"/>
          <w:szCs w:val="24"/>
        </w:rPr>
        <w:t>8</w:t>
      </w:r>
      <w:r w:rsidRPr="005A5862">
        <w:rPr>
          <w:bCs/>
          <w:noProof w:val="0"/>
          <w:sz w:val="24"/>
          <w:szCs w:val="24"/>
        </w:rPr>
        <w:tab/>
        <w:t>R2-</w:t>
      </w:r>
      <w:r w:rsidR="00C126ED" w:rsidRPr="00C126ED">
        <w:rPr>
          <w:bCs/>
          <w:noProof w:val="0"/>
          <w:sz w:val="24"/>
          <w:szCs w:val="24"/>
        </w:rPr>
        <w:t>2410211</w:t>
      </w:r>
    </w:p>
    <w:p w14:paraId="3723E1D3" w14:textId="4EE65BCD" w:rsidR="005432D9" w:rsidRPr="00920CE4" w:rsidRDefault="000418DD" w:rsidP="00541A65">
      <w:pPr>
        <w:pStyle w:val="Header"/>
        <w:tabs>
          <w:tab w:val="right" w:pos="9641"/>
        </w:tabs>
        <w:rPr>
          <w:rFonts w:eastAsia="宋体"/>
          <w:sz w:val="24"/>
          <w:szCs w:val="24"/>
          <w:lang w:val="it-IT" w:eastAsia="zh-CN"/>
        </w:rPr>
      </w:pPr>
      <w:r w:rsidRPr="00920CE4">
        <w:rPr>
          <w:sz w:val="24"/>
          <w:lang w:val="it-IT"/>
        </w:rPr>
        <w:t>Orlando</w:t>
      </w:r>
      <w:r w:rsidR="00541A65" w:rsidRPr="00920CE4">
        <w:rPr>
          <w:sz w:val="24"/>
          <w:lang w:val="it-IT"/>
        </w:rPr>
        <w:t xml:space="preserve">, </w:t>
      </w:r>
      <w:r w:rsidRPr="00920CE4">
        <w:rPr>
          <w:sz w:val="24"/>
          <w:lang w:val="it-IT"/>
        </w:rPr>
        <w:t>USA</w:t>
      </w:r>
      <w:r w:rsidR="00541A65" w:rsidRPr="00920CE4">
        <w:rPr>
          <w:sz w:val="24"/>
          <w:lang w:val="it-IT"/>
        </w:rPr>
        <w:t xml:space="preserve">, </w:t>
      </w:r>
      <w:r w:rsidRPr="00920CE4">
        <w:rPr>
          <w:sz w:val="24"/>
          <w:lang w:val="it-IT"/>
        </w:rPr>
        <w:t>18</w:t>
      </w:r>
      <w:r w:rsidR="00541A65" w:rsidRPr="00920CE4">
        <w:rPr>
          <w:sz w:val="24"/>
          <w:lang w:val="it-IT"/>
        </w:rPr>
        <w:t xml:space="preserve"> – </w:t>
      </w:r>
      <w:r w:rsidRPr="00920CE4">
        <w:rPr>
          <w:sz w:val="24"/>
          <w:lang w:val="it-IT"/>
        </w:rPr>
        <w:t>22</w:t>
      </w:r>
      <w:r w:rsidR="00541A65" w:rsidRPr="00920CE4">
        <w:rPr>
          <w:sz w:val="24"/>
          <w:lang w:val="it-IT"/>
        </w:rPr>
        <w:t xml:space="preserve"> </w:t>
      </w:r>
      <w:r w:rsidRPr="00920CE4">
        <w:rPr>
          <w:sz w:val="24"/>
          <w:lang w:val="it-IT"/>
        </w:rPr>
        <w:t>N</w:t>
      </w:r>
      <w:r w:rsidR="008D0C8C" w:rsidRPr="00920CE4">
        <w:rPr>
          <w:sz w:val="24"/>
          <w:lang w:val="it-IT"/>
        </w:rPr>
        <w:t>ovember</w:t>
      </w:r>
      <w:r w:rsidR="00541A65" w:rsidRPr="00920CE4">
        <w:rPr>
          <w:sz w:val="24"/>
          <w:lang w:val="it-IT"/>
        </w:rPr>
        <w:t xml:space="preserve"> 2024</w:t>
      </w:r>
      <w:r w:rsidR="00163A64" w:rsidRPr="00920CE4">
        <w:rPr>
          <w:sz w:val="24"/>
          <w:lang w:val="it-IT"/>
        </w:rPr>
        <w:tab/>
      </w:r>
      <w:r w:rsidR="00541A65" w:rsidRPr="00920CE4">
        <w:rPr>
          <w:sz w:val="24"/>
          <w:lang w:val="it-IT"/>
        </w:rPr>
        <w:tab/>
      </w:r>
    </w:p>
    <w:p w14:paraId="403CB9C0" w14:textId="77777777" w:rsidR="00A209D6" w:rsidRPr="00920CE4" w:rsidRDefault="00A209D6" w:rsidP="00A209D6">
      <w:pPr>
        <w:pStyle w:val="Header"/>
        <w:rPr>
          <w:sz w:val="24"/>
          <w:lang w:val="it-IT"/>
        </w:rPr>
      </w:pPr>
    </w:p>
    <w:p w14:paraId="0D04DE0E" w14:textId="7A2846E4"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5D45">
        <w:rPr>
          <w:rFonts w:cs="Arial"/>
          <w:b/>
          <w:bCs/>
          <w:sz w:val="24"/>
          <w:lang w:eastAsia="ja-JP"/>
        </w:rPr>
        <w:t>8</w:t>
      </w:r>
      <w:r>
        <w:rPr>
          <w:rFonts w:cs="Arial"/>
          <w:b/>
          <w:bCs/>
          <w:sz w:val="24"/>
          <w:lang w:eastAsia="ja-JP"/>
        </w:rPr>
        <w:t>.</w:t>
      </w:r>
      <w:r w:rsidR="00A35D45">
        <w:rPr>
          <w:rFonts w:cs="Arial"/>
          <w:b/>
          <w:bCs/>
          <w:sz w:val="24"/>
          <w:lang w:eastAsia="ja-JP"/>
        </w:rPr>
        <w:t>7</w:t>
      </w:r>
      <w:r>
        <w:rPr>
          <w:rFonts w:cs="Arial"/>
          <w:b/>
          <w:bCs/>
          <w:sz w:val="24"/>
          <w:lang w:eastAsia="ja-JP"/>
        </w:rPr>
        <w:t>.</w:t>
      </w:r>
      <w:r w:rsidR="00BC159F">
        <w:rPr>
          <w:rFonts w:cs="Arial"/>
          <w:b/>
          <w:bCs/>
          <w:sz w:val="24"/>
          <w:lang w:eastAsia="ja-JP"/>
        </w:rPr>
        <w:t>4.</w:t>
      </w:r>
      <w:r w:rsidR="00265E4D">
        <w:rPr>
          <w:rFonts w:cs="Arial"/>
          <w:b/>
          <w:bCs/>
          <w:sz w:val="24"/>
          <w:lang w:eastAsia="ja-JP"/>
        </w:rPr>
        <w:t>2</w:t>
      </w:r>
    </w:p>
    <w:p w14:paraId="0EC781B3" w14:textId="25EF3ABF"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4534F6">
        <w:rPr>
          <w:rFonts w:ascii="Arial" w:hAnsi="Arial" w:cs="Arial"/>
          <w:b/>
          <w:bCs/>
          <w:sz w:val="24"/>
        </w:rPr>
        <w:t>, Nokia Shanghai Bell</w:t>
      </w:r>
    </w:p>
    <w:p w14:paraId="16C775DD" w14:textId="6CBD1142"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65E4D" w:rsidRPr="00265E4D">
        <w:rPr>
          <w:rFonts w:ascii="Arial" w:hAnsi="Arial" w:cs="Arial"/>
          <w:b/>
          <w:bCs/>
          <w:sz w:val="24"/>
        </w:rPr>
        <w:t>DSR Enhancements</w:t>
      </w:r>
    </w:p>
    <w:p w14:paraId="7D015DD9" w14:textId="3024C3B7"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534F6" w:rsidRPr="004534F6">
        <w:rPr>
          <w:rFonts w:ascii="Arial" w:hAnsi="Arial" w:cs="Arial"/>
          <w:b/>
          <w:bCs/>
          <w:sz w:val="24"/>
        </w:rPr>
        <w:t>NR_XR_Ph3-Core -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6A880AE" w:rsidR="008B549E" w:rsidRDefault="008640EC" w:rsidP="008B549E">
      <w:r>
        <w:t>The following agreements were made in RAN2#127bis</w:t>
      </w:r>
      <w:r w:rsidR="004534F6">
        <w:t>:</w:t>
      </w:r>
    </w:p>
    <w:tbl>
      <w:tblPr>
        <w:tblStyle w:val="TableGrid"/>
        <w:tblW w:w="0" w:type="auto"/>
        <w:tblLook w:val="04A0" w:firstRow="1" w:lastRow="0" w:firstColumn="1" w:lastColumn="0" w:noHBand="0" w:noVBand="1"/>
      </w:tblPr>
      <w:tblGrid>
        <w:gridCol w:w="9631"/>
      </w:tblGrid>
      <w:tr w:rsidR="004534F6" w14:paraId="393A0B13" w14:textId="77777777" w:rsidTr="004534F6">
        <w:tc>
          <w:tcPr>
            <w:tcW w:w="9631" w:type="dxa"/>
          </w:tcPr>
          <w:p w14:paraId="134FFEDA" w14:textId="77777777" w:rsidR="00265E4D" w:rsidRDefault="00265E4D" w:rsidP="00265E4D">
            <w:pPr>
              <w:pStyle w:val="Agreement"/>
              <w:tabs>
                <w:tab w:val="clear" w:pos="1619"/>
                <w:tab w:val="num" w:pos="1307"/>
              </w:tabs>
              <w:ind w:left="456"/>
            </w:pPr>
            <w:r>
              <w:t>We do not change the definition of delay-critical data</w:t>
            </w:r>
          </w:p>
          <w:p w14:paraId="7EF0AAA9" w14:textId="77777777" w:rsidR="00265E4D" w:rsidRDefault="00265E4D" w:rsidP="00265E4D">
            <w:pPr>
              <w:pStyle w:val="Agreement"/>
              <w:tabs>
                <w:tab w:val="clear" w:pos="1619"/>
                <w:tab w:val="num" w:pos="1307"/>
              </w:tabs>
              <w:ind w:left="456"/>
            </w:pPr>
            <w:r>
              <w:t>For the sake of RAN2 discussions, we use the following terms: triggering threshold, reporting threshold(s)</w:t>
            </w:r>
          </w:p>
          <w:p w14:paraId="71D021CF" w14:textId="77777777" w:rsidR="00265E4D" w:rsidRPr="0025235D" w:rsidRDefault="00265E4D" w:rsidP="00265E4D">
            <w:pPr>
              <w:pStyle w:val="Agreement"/>
              <w:tabs>
                <w:tab w:val="clear" w:pos="1619"/>
                <w:tab w:val="num" w:pos="1307"/>
              </w:tabs>
              <w:ind w:left="456"/>
              <w:rPr>
                <w:highlight w:val="yellow"/>
              </w:rPr>
            </w:pPr>
            <w:r w:rsidRPr="0025235D">
              <w:rPr>
                <w:highlight w:val="yellow"/>
              </w:rPr>
              <w:t>Companies should analyse the impact of setting the triggering threshold to value lower than largest reporting threshold on DSR procedure, e.g. triggering, cancellation etc.</w:t>
            </w:r>
          </w:p>
          <w:p w14:paraId="58ADEB53" w14:textId="77777777" w:rsidR="00265E4D" w:rsidRDefault="00265E4D" w:rsidP="00265E4D">
            <w:pPr>
              <w:pStyle w:val="Agreement"/>
              <w:tabs>
                <w:tab w:val="clear" w:pos="1619"/>
                <w:tab w:val="num" w:pos="1307"/>
              </w:tabs>
              <w:ind w:left="456"/>
            </w:pPr>
            <w:r>
              <w:t>For Rel-19 DSR, the buffered data is divided into multiple portions based on the multiple reporting time threshold levels configured for an LCG. The Rel-19 DSR indicates the following information for each portion for which BS&gt;0:</w:t>
            </w:r>
          </w:p>
          <w:p w14:paraId="2329A300" w14:textId="77777777" w:rsidR="00265E4D" w:rsidRDefault="00265E4D" w:rsidP="00265E4D">
            <w:pPr>
              <w:pStyle w:val="Agreement"/>
              <w:numPr>
                <w:ilvl w:val="1"/>
                <w:numId w:val="18"/>
              </w:numPr>
            </w:pPr>
            <w:r>
              <w:t xml:space="preserve">Buffer size of data volume in each portion </w:t>
            </w:r>
          </w:p>
          <w:p w14:paraId="0F5EF44B" w14:textId="77777777" w:rsidR="00265E4D" w:rsidRDefault="00265E4D" w:rsidP="00265E4D">
            <w:pPr>
              <w:pStyle w:val="Agreement"/>
              <w:numPr>
                <w:ilvl w:val="1"/>
                <w:numId w:val="18"/>
              </w:numPr>
            </w:pPr>
            <w:r>
              <w:t>Shortest remaining time among PDCP SDUs buffered in each portion.</w:t>
            </w:r>
          </w:p>
          <w:p w14:paraId="48CEAB0D" w14:textId="77777777" w:rsidR="00265E4D" w:rsidRDefault="00265E4D" w:rsidP="00265E4D">
            <w:pPr>
              <w:pStyle w:val="Agreement"/>
              <w:tabs>
                <w:tab w:val="clear" w:pos="1619"/>
                <w:tab w:val="num" w:pos="1307"/>
              </w:tabs>
              <w:ind w:left="456"/>
            </w:pPr>
            <w:r>
              <w:t>There is no need to include PSI in the enhanced DSR MAC CE.</w:t>
            </w:r>
          </w:p>
          <w:p w14:paraId="3B84E857" w14:textId="77777777" w:rsidR="00265E4D" w:rsidRPr="00591047" w:rsidRDefault="00265E4D" w:rsidP="00265E4D">
            <w:pPr>
              <w:pStyle w:val="Agreement"/>
              <w:tabs>
                <w:tab w:val="clear" w:pos="1619"/>
                <w:tab w:val="num" w:pos="1307"/>
              </w:tabs>
              <w:ind w:left="456"/>
              <w:rPr>
                <w:highlight w:val="yellow"/>
              </w:rPr>
            </w:pPr>
            <w:r w:rsidRPr="00591047">
              <w:rPr>
                <w:highlight w:val="yellow"/>
              </w:rPr>
              <w:t>A one-bit indication may indicate whether a certain/further pair of remaining time information and buffer size information is present in the new DSR MAC CE for the associated LCG.</w:t>
            </w:r>
          </w:p>
          <w:p w14:paraId="632FBB87" w14:textId="2D433D37" w:rsidR="004534F6" w:rsidRDefault="00265E4D" w:rsidP="00265E4D">
            <w:pPr>
              <w:pStyle w:val="Agreement"/>
              <w:tabs>
                <w:tab w:val="clear" w:pos="1619"/>
                <w:tab w:val="num" w:pos="1307"/>
              </w:tabs>
              <w:ind w:left="456"/>
            </w:pPr>
            <w:r w:rsidRPr="0025235D">
              <w:rPr>
                <w:highlight w:val="yellow"/>
              </w:rPr>
              <w:t xml:space="preserve">FFS whether old and new DSR can be configured/used at the same </w:t>
            </w:r>
            <w:proofErr w:type="gramStart"/>
            <w:r w:rsidRPr="0025235D">
              <w:rPr>
                <w:highlight w:val="yellow"/>
              </w:rPr>
              <w:t>time</w:t>
            </w:r>
            <w:proofErr w:type="gramEnd"/>
            <w:r w:rsidRPr="0025235D">
              <w:rPr>
                <w:highlight w:val="yellow"/>
              </w:rPr>
              <w:t xml:space="preserve"> or we always use a new DSR in case there is at least one LCG configured with multiple reporting thresholds.</w:t>
            </w:r>
          </w:p>
        </w:tc>
      </w:tr>
    </w:tbl>
    <w:p w14:paraId="6C858924" w14:textId="77777777" w:rsidR="004534F6" w:rsidRDefault="004534F6" w:rsidP="008B549E"/>
    <w:p w14:paraId="2F0575B0" w14:textId="56EABA0D" w:rsidR="008B549E" w:rsidRPr="006E13D1" w:rsidRDefault="008B549E" w:rsidP="008B549E">
      <w:pPr>
        <w:pStyle w:val="Heading1"/>
      </w:pPr>
      <w:r w:rsidRPr="006E13D1">
        <w:t>2</w:t>
      </w:r>
      <w:r w:rsidRPr="006E13D1">
        <w:tab/>
      </w:r>
      <w:r w:rsidR="00A57EDE">
        <w:t>Discussion</w:t>
      </w:r>
    </w:p>
    <w:p w14:paraId="7F80A425" w14:textId="53EB6E09" w:rsidR="008B549E" w:rsidRPr="006E13D1" w:rsidRDefault="008B549E" w:rsidP="008B549E">
      <w:pPr>
        <w:pStyle w:val="Heading2"/>
      </w:pPr>
      <w:r>
        <w:t>2</w:t>
      </w:r>
      <w:r w:rsidRPr="006E13D1">
        <w:t>.1</w:t>
      </w:r>
      <w:r w:rsidRPr="006E13D1">
        <w:tab/>
      </w:r>
      <w:r w:rsidR="00CF1F5E">
        <w:t>Remaining Time reporting thresholds</w:t>
      </w:r>
    </w:p>
    <w:p w14:paraId="6B0687B2" w14:textId="321C1136" w:rsidR="00344B30" w:rsidRDefault="00EF7BBC" w:rsidP="0053175B">
      <w:pPr>
        <w:jc w:val="both"/>
      </w:pPr>
      <w:r>
        <w:t xml:space="preserve">DSR </w:t>
      </w:r>
      <w:r w:rsidR="00EC7185">
        <w:t xml:space="preserve">is currently </w:t>
      </w:r>
      <w:r>
        <w:t>trigger</w:t>
      </w:r>
      <w:r w:rsidR="00E003B0">
        <w:t>ed</w:t>
      </w:r>
      <w:r>
        <w:t xml:space="preserve"> </w:t>
      </w:r>
      <w:r w:rsidR="00EC7185">
        <w:t xml:space="preserve">when there is data with remaining time below </w:t>
      </w:r>
      <w:r w:rsidR="00E003B0">
        <w:t xml:space="preserve">the triggering </w:t>
      </w:r>
      <w:r w:rsidR="00EC7185">
        <w:t xml:space="preserve">threshold </w:t>
      </w:r>
      <w:r w:rsidR="009831C0">
        <w:t xml:space="preserve">that has not been transmitted and has not been reported before. </w:t>
      </w:r>
    </w:p>
    <w:tbl>
      <w:tblPr>
        <w:tblStyle w:val="TableGrid"/>
        <w:tblW w:w="0" w:type="auto"/>
        <w:tblLook w:val="04A0" w:firstRow="1" w:lastRow="0" w:firstColumn="1" w:lastColumn="0" w:noHBand="0" w:noVBand="1"/>
      </w:tblPr>
      <w:tblGrid>
        <w:gridCol w:w="9631"/>
      </w:tblGrid>
      <w:tr w:rsidR="00EF7BBC" w14:paraId="38516068" w14:textId="77777777" w:rsidTr="00EF7BBC">
        <w:tc>
          <w:tcPr>
            <w:tcW w:w="9631" w:type="dxa"/>
          </w:tcPr>
          <w:p w14:paraId="11CAC762" w14:textId="77777777" w:rsidR="00EF7BBC" w:rsidRPr="00D37AC6" w:rsidRDefault="00EF7BBC" w:rsidP="00EF7BBC">
            <w:r w:rsidRPr="00D37AC6">
              <w:t>If an LCG is configured for delay status reporting, the MAC entity shall for each logical channel within the LCG:</w:t>
            </w:r>
          </w:p>
          <w:p w14:paraId="2B4FBF03" w14:textId="77777777" w:rsidR="00EF7BBC" w:rsidRPr="00D37AC6" w:rsidRDefault="00EF7BBC" w:rsidP="00EF7BBC">
            <w:pPr>
              <w:pStyle w:val="B1"/>
            </w:pPr>
            <w:r w:rsidRPr="00D37AC6">
              <w:t>1&gt;</w:t>
            </w:r>
            <w:r w:rsidRPr="00D37AC6">
              <w:tab/>
              <w:t xml:space="preserve">if the smallest remaining value of the running PDCP </w:t>
            </w:r>
            <w:proofErr w:type="spellStart"/>
            <w:r w:rsidRPr="00D37AC6">
              <w:rPr>
                <w:i/>
                <w:iCs/>
              </w:rPr>
              <w:t>discardTimer</w:t>
            </w:r>
            <w:r w:rsidRPr="00D37AC6">
              <w:t>s</w:t>
            </w:r>
            <w:proofErr w:type="spellEnd"/>
            <w:r w:rsidRPr="00D37AC6">
              <w:t xml:space="preserve"> among all the PDCP SDUs buffered for the logical channel that have not been transmitted in any MAC PDU and have not been reported as data volume in a DSR MAC CE becomes below </w:t>
            </w:r>
            <w:proofErr w:type="spellStart"/>
            <w:r w:rsidRPr="00D37AC6">
              <w:rPr>
                <w:i/>
                <w:iCs/>
              </w:rPr>
              <w:t>remainingTimeThreshold</w:t>
            </w:r>
            <w:proofErr w:type="spellEnd"/>
            <w:r w:rsidRPr="00D37AC6">
              <w:t xml:space="preserve"> of the LCG; and</w:t>
            </w:r>
          </w:p>
          <w:p w14:paraId="2D5FA9B6" w14:textId="77777777" w:rsidR="00EF7BBC" w:rsidRPr="00D37AC6" w:rsidRDefault="00EF7BBC" w:rsidP="00EF7BBC">
            <w:pPr>
              <w:pStyle w:val="B1"/>
              <w:ind w:left="284" w:firstLine="0"/>
            </w:pPr>
            <w:r w:rsidRPr="00D37AC6">
              <w:t>1&gt;</w:t>
            </w:r>
            <w:r w:rsidRPr="00D37AC6">
              <w:tab/>
              <w:t>if there is no DSR pending for the logical channel:</w:t>
            </w:r>
          </w:p>
          <w:p w14:paraId="4347E60D" w14:textId="1AEB5D32" w:rsidR="00EF7BBC" w:rsidRDefault="00EF7BBC" w:rsidP="00920CE4">
            <w:pPr>
              <w:pStyle w:val="B2"/>
            </w:pPr>
            <w:r w:rsidRPr="00D37AC6">
              <w:t>2&gt;</w:t>
            </w:r>
            <w:r w:rsidRPr="00D37AC6">
              <w:tab/>
              <w:t>trigger a DSR for the logical channel.</w:t>
            </w:r>
          </w:p>
        </w:tc>
      </w:tr>
    </w:tbl>
    <w:p w14:paraId="09C02528" w14:textId="5A71B760" w:rsidR="00EF7BBC" w:rsidRDefault="00952B41" w:rsidP="00E003B0">
      <w:pPr>
        <w:spacing w:before="120"/>
        <w:jc w:val="both"/>
      </w:pPr>
      <w:r>
        <w:t xml:space="preserve">Allowing </w:t>
      </w:r>
      <w:r w:rsidR="00F26B20">
        <w:t xml:space="preserve">at least one </w:t>
      </w:r>
      <w:r>
        <w:t xml:space="preserve">reporting threshold </w:t>
      </w:r>
      <w:r w:rsidR="00E003B0">
        <w:t>to be</w:t>
      </w:r>
      <w:r>
        <w:t xml:space="preserve"> higher than the triggering threshold should not impact the trigger as the </w:t>
      </w:r>
      <w:r w:rsidR="00F26B20">
        <w:t>data</w:t>
      </w:r>
      <w:r>
        <w:t xml:space="preserve"> that has been reported before (even though not as delay critical data when reported) would not need to trigger DSR again since the NW already gets the information and can deduce based on data reported/scheduled and their reported </w:t>
      </w:r>
      <w:r>
        <w:lastRenderedPageBreak/>
        <w:t xml:space="preserve">remaining time to know they would become delay critical data now without extra reporting. </w:t>
      </w:r>
      <w:r w:rsidR="002532BC">
        <w:t xml:space="preserve">The early reporting gives NW more scheduling flexibility as well as reduce the </w:t>
      </w:r>
      <w:r w:rsidR="007C2189">
        <w:t>overhead of further DSR and potential SR transmission.</w:t>
      </w:r>
    </w:p>
    <w:p w14:paraId="1A530A1A" w14:textId="4770B6A6" w:rsidR="007C2189" w:rsidRDefault="000A6C1A" w:rsidP="0053175B">
      <w:pPr>
        <w:jc w:val="both"/>
      </w:pPr>
      <w:r>
        <w:t>For cancellation, DSR is cancelled when</w:t>
      </w:r>
      <w:r w:rsidR="00BF4FF1">
        <w:t xml:space="preserve"> the DSR is transmitted, or</w:t>
      </w:r>
      <w:r>
        <w:t xml:space="preserve"> </w:t>
      </w:r>
      <w:r w:rsidR="00BF4FF1">
        <w:t xml:space="preserve">when </w:t>
      </w:r>
      <w:r>
        <w:t xml:space="preserve">all the delay </w:t>
      </w:r>
      <w:r w:rsidR="0001041A">
        <w:t>critical data are transmitted or discarded</w:t>
      </w:r>
      <w:r w:rsidR="00BF4FF1">
        <w:t>. Same could still apply even if some of the reporting thresholds</w:t>
      </w:r>
      <w:r w:rsidR="00896D90">
        <w:t xml:space="preserve"> are higher than the triggering threshold. When there is no data below the triggering threshold, the triggered DSR can be cancelled as currently defined.</w:t>
      </w:r>
    </w:p>
    <w:tbl>
      <w:tblPr>
        <w:tblStyle w:val="TableGrid"/>
        <w:tblW w:w="0" w:type="auto"/>
        <w:tblLook w:val="04A0" w:firstRow="1" w:lastRow="0" w:firstColumn="1" w:lastColumn="0" w:noHBand="0" w:noVBand="1"/>
      </w:tblPr>
      <w:tblGrid>
        <w:gridCol w:w="9631"/>
      </w:tblGrid>
      <w:tr w:rsidR="00104B6D" w14:paraId="4B2A1494" w14:textId="77777777" w:rsidTr="00104B6D">
        <w:tc>
          <w:tcPr>
            <w:tcW w:w="9631" w:type="dxa"/>
          </w:tcPr>
          <w:p w14:paraId="46BFE7BD" w14:textId="4C3F690D" w:rsidR="00104B6D" w:rsidRDefault="000A6C1A" w:rsidP="00104B6D">
            <w:pPr>
              <w:overflowPunct w:val="0"/>
              <w:autoSpaceDE w:val="0"/>
              <w:autoSpaceDN w:val="0"/>
              <w:adjustRightInd w:val="0"/>
              <w:textAlignment w:val="baseline"/>
            </w:pPr>
            <w:r>
              <w:rPr>
                <w:lang w:eastAsia="ko-KR"/>
              </w:rPr>
              <w:t xml:space="preserve">The </w:t>
            </w:r>
            <w:r w:rsidR="00104B6D" w:rsidRPr="00104B6D">
              <w:rPr>
                <w:lang w:eastAsia="ko-KR"/>
              </w:rPr>
              <w:t>MAC entity shall cancel a pending DSR, when all the PDCP SDUs associated with the DSR have been discarded, or when a MAC PDU is transmitted and this MAC PDU includes a DSR MAC CE that contains the delay information of all the PDCP SDUs associated with the DSR (as described in the clause 6.1.3.72), or when a MAC PDU is transmitted and this MAC PDU includes all the PDCP SDUs associated with the DSR.</w:t>
            </w:r>
          </w:p>
        </w:tc>
      </w:tr>
    </w:tbl>
    <w:p w14:paraId="46B8BC44" w14:textId="5794C13B" w:rsidR="00344B30" w:rsidRDefault="00896D90" w:rsidP="00F26B20">
      <w:pPr>
        <w:spacing w:before="120"/>
        <w:jc w:val="both"/>
      </w:pPr>
      <w:r w:rsidRPr="00F26B20">
        <w:rPr>
          <w:b/>
        </w:rPr>
        <w:t>Observation</w:t>
      </w:r>
      <w:r w:rsidR="00F26B20" w:rsidRPr="00F26B20">
        <w:rPr>
          <w:b/>
          <w:bCs/>
        </w:rPr>
        <w:t xml:space="preserve"> 1</w:t>
      </w:r>
      <w:r>
        <w:t xml:space="preserve">: </w:t>
      </w:r>
      <w:r w:rsidR="00F26B20">
        <w:t>N</w:t>
      </w:r>
      <w:r>
        <w:t xml:space="preserve">o impact on DSR trigger and cancellation </w:t>
      </w:r>
      <w:r w:rsidR="00F26B20">
        <w:t xml:space="preserve">with multiple reporting thresholds </w:t>
      </w:r>
      <w:r>
        <w:t xml:space="preserve">even if </w:t>
      </w:r>
      <w:r w:rsidR="00D64832">
        <w:t>there is</w:t>
      </w:r>
      <w:r>
        <w:t xml:space="preserve"> </w:t>
      </w:r>
      <w:r w:rsidR="00F26B20">
        <w:t xml:space="preserve">a </w:t>
      </w:r>
      <w:r>
        <w:t>reporting thre</w:t>
      </w:r>
      <w:r w:rsidR="00D64832">
        <w:t xml:space="preserve">shold higher than </w:t>
      </w:r>
      <w:r w:rsidR="00F26B20">
        <w:t xml:space="preserve">the </w:t>
      </w:r>
      <w:r w:rsidR="00D64832">
        <w:t>triggering threshold.</w:t>
      </w:r>
    </w:p>
    <w:p w14:paraId="60C45D09" w14:textId="3EB26EAC" w:rsidR="002911D6" w:rsidRPr="0095531E" w:rsidRDefault="00C07AAB" w:rsidP="0053175B">
      <w:pPr>
        <w:jc w:val="both"/>
        <w:rPr>
          <w:lang w:val="en-US"/>
        </w:rPr>
      </w:pPr>
      <w:r>
        <w:t>Thus</w:t>
      </w:r>
      <w:r w:rsidR="00F26B20">
        <w:t>,</w:t>
      </w:r>
      <w:r>
        <w:t xml:space="preserve"> i</w:t>
      </w:r>
      <w:r w:rsidR="0095531E">
        <w:t>n our view</w:t>
      </w:r>
      <w:r w:rsidR="0095531E" w:rsidRPr="0095531E">
        <w:t xml:space="preserve">, </w:t>
      </w:r>
      <w:r w:rsidR="00AC40E0" w:rsidRPr="0095531E">
        <w:t xml:space="preserve">the </w:t>
      </w:r>
      <w:r w:rsidR="00175EA2">
        <w:t xml:space="preserve">DSR triggering </w:t>
      </w:r>
      <w:proofErr w:type="gramStart"/>
      <w:r w:rsidR="00AC40E0" w:rsidRPr="0095531E">
        <w:t>threshold</w:t>
      </w:r>
      <w:proofErr w:type="gramEnd"/>
      <w:r w:rsidR="00AC40E0" w:rsidRPr="0095531E">
        <w:t xml:space="preserve"> and the </w:t>
      </w:r>
      <w:r w:rsidR="00175EA2">
        <w:t>reporting</w:t>
      </w:r>
      <w:r w:rsidR="00AC40E0" w:rsidRPr="0095531E">
        <w:t xml:space="preserve"> threshold(s) </w:t>
      </w:r>
      <w:r w:rsidR="0031309A">
        <w:t>can</w:t>
      </w:r>
      <w:r>
        <w:t xml:space="preserve"> </w:t>
      </w:r>
      <w:r w:rsidR="00AC40E0" w:rsidRPr="0095531E">
        <w:t>be separately configured</w:t>
      </w:r>
      <w:r w:rsidR="00F23768">
        <w:t xml:space="preserve">. The purpose </w:t>
      </w:r>
      <w:r w:rsidR="003A4289">
        <w:t xml:space="preserve">of multiple reporting thresholds </w:t>
      </w:r>
      <w:r w:rsidR="003A4289" w:rsidRPr="0095531E">
        <w:t xml:space="preserve">is to provide more granular information to assist the </w:t>
      </w:r>
      <w:proofErr w:type="spellStart"/>
      <w:r w:rsidR="003A4289" w:rsidRPr="0095531E">
        <w:t>gNB</w:t>
      </w:r>
      <w:proofErr w:type="spellEnd"/>
      <w:r w:rsidR="003A4289" w:rsidRPr="0095531E">
        <w:t xml:space="preserve"> in radio resource management</w:t>
      </w:r>
      <w:r w:rsidR="006350DD">
        <w:t xml:space="preserve">. It does not exclude that </w:t>
      </w:r>
      <w:r w:rsidR="002911D6">
        <w:t xml:space="preserve">a reporting threshold can have the same value of the triggering threshold. However, </w:t>
      </w:r>
      <w:r w:rsidR="002911D6" w:rsidRPr="0095531E">
        <w:t xml:space="preserve">we see no strong need to limit the </w:t>
      </w:r>
      <w:r w:rsidR="000C0CC4">
        <w:t>triggering threshold</w:t>
      </w:r>
      <w:r w:rsidR="002911D6" w:rsidRPr="0095531E">
        <w:t xml:space="preserve"> to be the highest or lowest reporting threshold, as it could be beneficial to report the data that will soon become delay critical when a DRS is triggered by a lower threshold. The reporting </w:t>
      </w:r>
      <w:r w:rsidR="000C0CC4">
        <w:t>t</w:t>
      </w:r>
      <w:r w:rsidR="002911D6" w:rsidRPr="0095531E">
        <w:t>hreshold(s) could even be configured relatively to the triggering threshold if needed. It is more flexible to allow triggering threshold and reporting threshold(s) to be separately configured. </w:t>
      </w:r>
      <w:r w:rsidR="002911D6" w:rsidRPr="0095531E">
        <w:rPr>
          <w:lang w:val="en-US"/>
        </w:rPr>
        <w:t> </w:t>
      </w:r>
    </w:p>
    <w:p w14:paraId="68321E59" w14:textId="5E4C93ED" w:rsidR="002911D6" w:rsidRPr="0095531E" w:rsidRDefault="002911D6" w:rsidP="0053175B">
      <w:pPr>
        <w:jc w:val="both"/>
        <w:rPr>
          <w:lang w:val="en-US"/>
        </w:rPr>
      </w:pPr>
      <w:r w:rsidRPr="0095531E">
        <w:rPr>
          <w:b/>
          <w:bCs/>
        </w:rPr>
        <w:t>Proposal 1</w:t>
      </w:r>
      <w:r w:rsidRPr="0095531E">
        <w:t xml:space="preserve">: </w:t>
      </w:r>
      <w:r w:rsidR="00F26B20">
        <w:t xml:space="preserve">The </w:t>
      </w:r>
      <w:r w:rsidR="0053175B">
        <w:t xml:space="preserve">DSR triggering </w:t>
      </w:r>
      <w:proofErr w:type="gramStart"/>
      <w:r w:rsidR="0053175B" w:rsidRPr="0095531E">
        <w:t>threshold</w:t>
      </w:r>
      <w:proofErr w:type="gramEnd"/>
      <w:r w:rsidR="0053175B" w:rsidRPr="0095531E">
        <w:t xml:space="preserve"> and the </w:t>
      </w:r>
      <w:r w:rsidR="0053175B">
        <w:t>reporting</w:t>
      </w:r>
      <w:r w:rsidR="0053175B" w:rsidRPr="0095531E">
        <w:t xml:space="preserve"> threshold(s) </w:t>
      </w:r>
      <w:r w:rsidR="007974DC">
        <w:t>are</w:t>
      </w:r>
      <w:r w:rsidR="0053175B" w:rsidRPr="0095531E">
        <w:t xml:space="preserve"> separately configured</w:t>
      </w:r>
      <w:r w:rsidRPr="0095531E">
        <w:t>. </w:t>
      </w:r>
      <w:r w:rsidRPr="0095531E">
        <w:rPr>
          <w:lang w:val="en-US"/>
        </w:rPr>
        <w:t> </w:t>
      </w:r>
    </w:p>
    <w:p w14:paraId="6394123B" w14:textId="37C801BD" w:rsidR="008B549E" w:rsidRPr="00212396" w:rsidRDefault="008B549E" w:rsidP="008B549E">
      <w:pPr>
        <w:pStyle w:val="Heading2"/>
        <w:rPr>
          <w:lang w:val="en-US"/>
        </w:rPr>
      </w:pPr>
      <w:r w:rsidRPr="00212396">
        <w:rPr>
          <w:lang w:val="en-US"/>
        </w:rPr>
        <w:t>2.2</w:t>
      </w:r>
      <w:r w:rsidRPr="00212396">
        <w:rPr>
          <w:lang w:val="en-US"/>
        </w:rPr>
        <w:tab/>
      </w:r>
      <w:r w:rsidR="00CF1F5E" w:rsidRPr="00212396">
        <w:rPr>
          <w:lang w:val="en-US"/>
        </w:rPr>
        <w:t>DSR Format</w:t>
      </w:r>
    </w:p>
    <w:p w14:paraId="0C6BF320" w14:textId="300CD643" w:rsidR="00BB4270" w:rsidRDefault="00BB4270" w:rsidP="00FF4947">
      <w:pPr>
        <w:jc w:val="both"/>
        <w:rPr>
          <w:lang w:val="en-US"/>
        </w:rPr>
      </w:pPr>
      <w:r>
        <w:rPr>
          <w:lang w:val="en-US"/>
        </w:rPr>
        <w:t>Flexible size DSR based on data status was agreed in the previous meeting</w:t>
      </w:r>
      <w:r w:rsidR="00F26B20">
        <w:rPr>
          <w:lang w:val="en-US"/>
        </w:rPr>
        <w:t>.  Therefore,</w:t>
      </w:r>
      <w:r>
        <w:rPr>
          <w:lang w:val="en-US"/>
        </w:rPr>
        <w:t xml:space="preserve"> the Rel-19 DSR format would be able to report single entry BS </w:t>
      </w:r>
      <w:r w:rsidR="00F26B20">
        <w:rPr>
          <w:lang w:val="en-US"/>
        </w:rPr>
        <w:t xml:space="preserve">and RT </w:t>
      </w:r>
      <w:r>
        <w:rPr>
          <w:lang w:val="en-US"/>
        </w:rPr>
        <w:t xml:space="preserve">for the LCGs </w:t>
      </w:r>
      <w:r w:rsidR="00F26B20">
        <w:rPr>
          <w:lang w:val="en-US"/>
        </w:rPr>
        <w:t xml:space="preserve">configured </w:t>
      </w:r>
      <w:r>
        <w:rPr>
          <w:lang w:val="en-US"/>
        </w:rPr>
        <w:t xml:space="preserve">with multiple </w:t>
      </w:r>
      <w:r w:rsidR="00195540">
        <w:rPr>
          <w:lang w:val="en-US"/>
        </w:rPr>
        <w:t xml:space="preserve">reporting </w:t>
      </w:r>
      <w:r>
        <w:rPr>
          <w:lang w:val="en-US"/>
        </w:rPr>
        <w:t>threshold</w:t>
      </w:r>
      <w:r w:rsidR="00195540">
        <w:rPr>
          <w:lang w:val="en-US"/>
        </w:rPr>
        <w:t>s</w:t>
      </w:r>
      <w:r>
        <w:rPr>
          <w:lang w:val="en-US"/>
        </w:rPr>
        <w:t xml:space="preserve"> as well. </w:t>
      </w:r>
      <w:r w:rsidR="00195540">
        <w:rPr>
          <w:lang w:val="en-US"/>
        </w:rPr>
        <w:t xml:space="preserve">With extension bit, </w:t>
      </w:r>
      <w:r w:rsidR="00F26B20">
        <w:rPr>
          <w:lang w:val="en-US"/>
        </w:rPr>
        <w:t xml:space="preserve">there is </w:t>
      </w:r>
      <w:r w:rsidR="00195540">
        <w:rPr>
          <w:lang w:val="en-US"/>
        </w:rPr>
        <w:t xml:space="preserve">no </w:t>
      </w:r>
      <w:r w:rsidR="004E653E">
        <w:rPr>
          <w:lang w:val="en-US"/>
        </w:rPr>
        <w:t>extra</w:t>
      </w:r>
      <w:r w:rsidR="00195540">
        <w:rPr>
          <w:lang w:val="en-US"/>
        </w:rPr>
        <w:t xml:space="preserve"> overhead to always use the new DSR format even if there is only one entry for each LCG</w:t>
      </w:r>
      <w:r w:rsidR="004E653E">
        <w:rPr>
          <w:lang w:val="en-US"/>
        </w:rPr>
        <w:t xml:space="preserve"> or only the LCGs configured with </w:t>
      </w:r>
      <w:r w:rsidR="00872099">
        <w:rPr>
          <w:lang w:val="en-US"/>
        </w:rPr>
        <w:t xml:space="preserve">legacy </w:t>
      </w:r>
      <w:r w:rsidR="004E653E">
        <w:rPr>
          <w:lang w:val="en-US"/>
        </w:rPr>
        <w:t xml:space="preserve">single threshold </w:t>
      </w:r>
      <w:r w:rsidR="00872099">
        <w:rPr>
          <w:lang w:val="en-US"/>
        </w:rPr>
        <w:t>are to be reported</w:t>
      </w:r>
      <w:r w:rsidR="00403327">
        <w:rPr>
          <w:lang w:val="en-US"/>
        </w:rPr>
        <w:t xml:space="preserve">. </w:t>
      </w:r>
      <w:r w:rsidR="004E653E">
        <w:rPr>
          <w:lang w:val="en-US"/>
        </w:rPr>
        <w:t>It could also simplify the DSR selection to always use the new DSR format as long as there is any LCG configured with multiple reporting thresholds without extra overhead.</w:t>
      </w:r>
    </w:p>
    <w:p w14:paraId="6BA3660B" w14:textId="77917149" w:rsidR="00403327" w:rsidRDefault="00403327" w:rsidP="00FF4947">
      <w:pPr>
        <w:jc w:val="both"/>
        <w:rPr>
          <w:lang w:val="en-US"/>
        </w:rPr>
      </w:pPr>
      <w:r w:rsidRPr="00411371">
        <w:rPr>
          <w:b/>
          <w:bCs/>
          <w:lang w:val="en-US"/>
        </w:rPr>
        <w:t xml:space="preserve">Proposal </w:t>
      </w:r>
      <w:r w:rsidR="00065F3A">
        <w:rPr>
          <w:b/>
          <w:bCs/>
          <w:lang w:val="en-US"/>
        </w:rPr>
        <w:t>2</w:t>
      </w:r>
      <w:r>
        <w:rPr>
          <w:lang w:val="en-US"/>
        </w:rPr>
        <w:t xml:space="preserve">: </w:t>
      </w:r>
      <w:r w:rsidR="0069078F">
        <w:rPr>
          <w:lang w:val="en-US"/>
        </w:rPr>
        <w:t xml:space="preserve">for each </w:t>
      </w:r>
      <w:r w:rsidR="00D836E0">
        <w:rPr>
          <w:lang w:val="en-US"/>
        </w:rPr>
        <w:t xml:space="preserve">reported </w:t>
      </w:r>
      <w:r w:rsidR="0069078F">
        <w:rPr>
          <w:lang w:val="en-US"/>
        </w:rPr>
        <w:t>BS/RT entry, an e</w:t>
      </w:r>
      <w:r w:rsidR="00E61AA2">
        <w:rPr>
          <w:lang w:val="en-US"/>
        </w:rPr>
        <w:t xml:space="preserve">xtension bit is used to indicate whether </w:t>
      </w:r>
      <w:r w:rsidR="0069078F">
        <w:rPr>
          <w:lang w:val="en-US"/>
        </w:rPr>
        <w:t>there is further BS/RT pair following for the LCG</w:t>
      </w:r>
      <w:r w:rsidR="000D5A7F">
        <w:rPr>
          <w:lang w:val="en-US"/>
        </w:rPr>
        <w:t xml:space="preserve"> (the R bit </w:t>
      </w:r>
      <w:r w:rsidR="00972E4D">
        <w:rPr>
          <w:lang w:val="en-US"/>
        </w:rPr>
        <w:t xml:space="preserve">in RT octet </w:t>
      </w:r>
      <w:r w:rsidR="000D5A7F">
        <w:rPr>
          <w:lang w:val="en-US"/>
        </w:rPr>
        <w:t>can be used)</w:t>
      </w:r>
      <w:r w:rsidR="0069078F">
        <w:rPr>
          <w:lang w:val="en-US"/>
        </w:rPr>
        <w:t>.</w:t>
      </w:r>
    </w:p>
    <w:p w14:paraId="1508F967" w14:textId="4DA1CBAC" w:rsidR="0069078F" w:rsidRDefault="0069078F" w:rsidP="00FF4947">
      <w:pPr>
        <w:jc w:val="both"/>
        <w:rPr>
          <w:lang w:val="en-US"/>
        </w:rPr>
      </w:pPr>
      <w:r w:rsidRPr="00411371">
        <w:rPr>
          <w:b/>
          <w:bCs/>
          <w:lang w:val="en-US"/>
        </w:rPr>
        <w:t xml:space="preserve">Proposal </w:t>
      </w:r>
      <w:r w:rsidR="00065F3A">
        <w:rPr>
          <w:b/>
          <w:bCs/>
          <w:lang w:val="en-US"/>
        </w:rPr>
        <w:t>3</w:t>
      </w:r>
      <w:r>
        <w:rPr>
          <w:lang w:val="en-US"/>
        </w:rPr>
        <w:t>:</w:t>
      </w:r>
      <w:r w:rsidR="00B36E1A">
        <w:rPr>
          <w:lang w:val="en-US"/>
        </w:rPr>
        <w:t xml:space="preserve"> Rel-19 DSR format is used when there is any LCG configured with multiple reporting thresholds since there is no overhead difference from legacy DSR even if all the LCGs are with single entry.</w:t>
      </w:r>
    </w:p>
    <w:p w14:paraId="46C35A9A" w14:textId="33AF9ACF" w:rsidR="0025229E" w:rsidRPr="0025229E" w:rsidRDefault="00BA2112" w:rsidP="00C145FB">
      <w:pPr>
        <w:jc w:val="both"/>
        <w:rPr>
          <w:lang w:val="en-US"/>
        </w:rPr>
      </w:pPr>
      <w:r>
        <w:t xml:space="preserve">Regarding </w:t>
      </w:r>
      <w:r w:rsidR="007F39F3">
        <w:t>n</w:t>
      </w:r>
      <w:r w:rsidR="00494AB9">
        <w:t>on-delay critical</w:t>
      </w:r>
      <w:r w:rsidR="007F39F3">
        <w:t xml:space="preserve"> data</w:t>
      </w:r>
      <w:r w:rsidR="00C54080">
        <w:t xml:space="preserve"> ahead of the queue, </w:t>
      </w:r>
      <w:r w:rsidR="0025229E" w:rsidRPr="0025229E">
        <w:t>it is clear that with the current DSR</w:t>
      </w:r>
      <w:r w:rsidR="00A10566">
        <w:t>,</w:t>
      </w:r>
      <w:r w:rsidR="0025229E" w:rsidRPr="0025229E">
        <w:t xml:space="preserve"> the NW is unaware</w:t>
      </w:r>
      <w:r w:rsidR="00E25C4C">
        <w:t xml:space="preserve"> of it</w:t>
      </w:r>
      <w:r w:rsidR="0025229E" w:rsidRPr="0025229E">
        <w:t xml:space="preserve">. Therefore, since the amount of non-delay critical data has not been reported in the DSR (and the </w:t>
      </w:r>
      <w:proofErr w:type="spellStart"/>
      <w:r w:rsidR="0025229E" w:rsidRPr="0025229E">
        <w:t>gNB</w:t>
      </w:r>
      <w:proofErr w:type="spellEnd"/>
      <w:r w:rsidR="0025229E" w:rsidRPr="0025229E">
        <w:t xml:space="preserve"> is not able to extract it from the BSR), the </w:t>
      </w:r>
      <w:proofErr w:type="spellStart"/>
      <w:r w:rsidR="0025229E" w:rsidRPr="0025229E">
        <w:t>gNB</w:t>
      </w:r>
      <w:proofErr w:type="spellEnd"/>
      <w:r w:rsidR="0025229E" w:rsidRPr="0025229E">
        <w:t xml:space="preserve"> schedules resources based on what reported in the buffer size field of the DSR, and the allocated resources may not be sufficient for the transmission of delay-critical data. </w:t>
      </w:r>
      <w:r w:rsidR="00006F4F">
        <w:t>Actually, in case of DSR with multiple reporting threshold</w:t>
      </w:r>
      <w:r w:rsidR="00862EAD">
        <w:t>s</w:t>
      </w:r>
      <w:r w:rsidR="00006F4F">
        <w:t xml:space="preserve">, this does not only apply to delay-critical data, but to any data being reported in the DSR. </w:t>
      </w:r>
      <w:r w:rsidR="0025229E" w:rsidRPr="0025229E">
        <w:t>To illustrate this problem, let</w:t>
      </w:r>
      <w:r w:rsidR="006D21B9">
        <w:t>’</w:t>
      </w:r>
      <w:r w:rsidR="0025229E" w:rsidRPr="0025229E">
        <w:t xml:space="preserve">s consider an example where data belonging to different PDU sets </w:t>
      </w:r>
      <w:r w:rsidR="00A92BEE">
        <w:t>(PDU set#0, #1, and #2 in Figure</w:t>
      </w:r>
      <w:r w:rsidR="00BA1D33">
        <w:t>2.</w:t>
      </w:r>
      <w:r w:rsidR="00BA1D33" w:rsidDel="001E0250">
        <w:t>2-1</w:t>
      </w:r>
      <w:r w:rsidR="00A056BC" w:rsidDel="001E0250">
        <w:t>)</w:t>
      </w:r>
      <w:r w:rsidR="0025229E" w:rsidRPr="0025229E" w:rsidDel="001E0250">
        <w:t xml:space="preserve"> </w:t>
      </w:r>
      <w:r w:rsidR="0025229E" w:rsidRPr="0025229E">
        <w:t xml:space="preserve">arrive in the UE buffer interlaced. </w:t>
      </w:r>
      <w:r w:rsidR="004661BF">
        <w:t xml:space="preserve">We assume that </w:t>
      </w:r>
      <w:r w:rsidR="006F459B">
        <w:t xml:space="preserve">PDU set </w:t>
      </w:r>
      <w:r w:rsidR="006063BC">
        <w:t xml:space="preserve">based </w:t>
      </w:r>
      <w:r w:rsidR="002172A6">
        <w:t>discard</w:t>
      </w:r>
      <w:r w:rsidR="004661BF">
        <w:t xml:space="preserve"> </w:t>
      </w:r>
      <w:r w:rsidR="0023777C" w:rsidRPr="0023777C">
        <w:t>(pdu-SetDiscard-r18)</w:t>
      </w:r>
      <w:r w:rsidR="003C4EF4">
        <w:t xml:space="preserve"> is configured</w:t>
      </w:r>
      <w:r w:rsidR="008A0BD7">
        <w:t>.</w:t>
      </w:r>
    </w:p>
    <w:p w14:paraId="1329625A" w14:textId="575B9FE4" w:rsidR="006A2E94" w:rsidRDefault="006C0B33" w:rsidP="00BA1D33">
      <w:pPr>
        <w:pStyle w:val="TF"/>
      </w:pPr>
      <w:r>
        <w:rPr>
          <w:noProof/>
        </w:rPr>
        <w:drawing>
          <wp:inline distT="0" distB="0" distL="0" distR="0" wp14:anchorId="1A3DC42B" wp14:editId="16E23643">
            <wp:extent cx="6110449" cy="3420000"/>
            <wp:effectExtent l="0" t="0" r="0" b="9525"/>
            <wp:docPr id="1443474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0449" cy="3420000"/>
                    </a:xfrm>
                    <a:prstGeom prst="rect">
                      <a:avLst/>
                    </a:prstGeom>
                    <a:noFill/>
                  </pic:spPr>
                </pic:pic>
              </a:graphicData>
            </a:graphic>
          </wp:inline>
        </w:drawing>
      </w:r>
    </w:p>
    <w:p w14:paraId="5CC03616" w14:textId="5CD00EED" w:rsidR="00C145FB" w:rsidRDefault="00BA1D33" w:rsidP="00BA1D33">
      <w:pPr>
        <w:pStyle w:val="TF"/>
      </w:pPr>
      <w:r w:rsidRPr="006E13D1">
        <w:t xml:space="preserve">Figure </w:t>
      </w:r>
      <w:r>
        <w:t>2.</w:t>
      </w:r>
      <w:r w:rsidR="006559F0">
        <w:t>2</w:t>
      </w:r>
      <w:r>
        <w:t>-1</w:t>
      </w:r>
      <w:r w:rsidRPr="006E13D1">
        <w:t xml:space="preserve">: </w:t>
      </w:r>
      <w:r w:rsidR="0025229E" w:rsidRPr="0025229E">
        <w:t>DSR with low-importance and high</w:t>
      </w:r>
      <w:r w:rsidR="006D21B9">
        <w:t>-</w:t>
      </w:r>
      <w:r w:rsidR="0025229E" w:rsidRPr="0025229E">
        <w:t>importance data  </w:t>
      </w:r>
    </w:p>
    <w:p w14:paraId="0FC6D389" w14:textId="2B8CA1E6" w:rsidR="00907541" w:rsidRDefault="008B69A6" w:rsidP="00C145FB">
      <w:pPr>
        <w:jc w:val="both"/>
      </w:pPr>
      <w:r>
        <w:t xml:space="preserve">In the example, the UE is configured with </w:t>
      </w:r>
      <w:r w:rsidR="00116E34">
        <w:t xml:space="preserve">three reporting thresholds: </w:t>
      </w:r>
      <m:oMath>
        <m:sSub>
          <m:sSubPr>
            <m:ctrlPr>
              <w:rPr>
                <w:rFonts w:ascii="Cambria Math" w:hAnsi="Cambria Math"/>
                <w:i/>
              </w:rPr>
            </m:ctrlPr>
          </m:sSubPr>
          <m:e>
            <m:r>
              <w:rPr>
                <w:rFonts w:ascii="Cambria Math" w:hAnsi="Cambria Math"/>
              </w:rPr>
              <m:t>RT</m:t>
            </m:r>
          </m:e>
          <m:sub>
            <m:r>
              <w:rPr>
                <w:rFonts w:ascii="Cambria Math" w:hAnsi="Cambria Math"/>
              </w:rPr>
              <m:t>T0</m:t>
            </m:r>
          </m:sub>
        </m:sSub>
      </m:oMath>
      <w:r w:rsidR="008D0FD1">
        <w:t xml:space="preserve">, </w:t>
      </w:r>
      <m:oMath>
        <m:sSub>
          <m:sSubPr>
            <m:ctrlPr>
              <w:rPr>
                <w:rFonts w:ascii="Cambria Math" w:hAnsi="Cambria Math"/>
                <w:i/>
              </w:rPr>
            </m:ctrlPr>
          </m:sSubPr>
          <m:e>
            <m:r>
              <w:rPr>
                <w:rFonts w:ascii="Cambria Math" w:hAnsi="Cambria Math"/>
              </w:rPr>
              <m:t>RT</m:t>
            </m:r>
          </m:e>
          <m:sub>
            <m:r>
              <w:rPr>
                <w:rFonts w:ascii="Cambria Math" w:hAnsi="Cambria Math"/>
              </w:rPr>
              <m:t>T1</m:t>
            </m:r>
          </m:sub>
        </m:sSub>
      </m:oMath>
      <w:r w:rsidR="008D0FD1">
        <w:t xml:space="preserve"> and </w:t>
      </w:r>
      <m:oMath>
        <m:sSub>
          <m:sSubPr>
            <m:ctrlPr>
              <w:rPr>
                <w:rFonts w:ascii="Cambria Math" w:hAnsi="Cambria Math"/>
                <w:i/>
              </w:rPr>
            </m:ctrlPr>
          </m:sSubPr>
          <m:e>
            <m:r>
              <w:rPr>
                <w:rFonts w:ascii="Cambria Math" w:hAnsi="Cambria Math"/>
              </w:rPr>
              <m:t>RT</m:t>
            </m:r>
          </m:e>
          <m:sub>
            <m:r>
              <w:rPr>
                <w:rFonts w:ascii="Cambria Math" w:hAnsi="Cambria Math"/>
              </w:rPr>
              <m:t>T2</m:t>
            </m:r>
          </m:sub>
        </m:sSub>
      </m:oMath>
      <w:r w:rsidR="008D0FD1">
        <w:t>. T</w:t>
      </w:r>
      <w:r w:rsidR="003D54D9">
        <w:t xml:space="preserve">he </w:t>
      </w:r>
      <w:r w:rsidR="00C96A10">
        <w:t xml:space="preserve">triggering threshold </w:t>
      </w:r>
      <w:r w:rsidR="00DE23E2">
        <w:t xml:space="preserve">is </w:t>
      </w:r>
      <w:r w:rsidR="0099758D">
        <w:t xml:space="preserve">assumed to be </w:t>
      </w:r>
      <w:r w:rsidR="00DE23E2">
        <w:t xml:space="preserve">equal to </w:t>
      </w:r>
      <m:oMath>
        <m:sSub>
          <m:sSubPr>
            <m:ctrlPr>
              <w:rPr>
                <w:rFonts w:ascii="Cambria Math" w:hAnsi="Cambria Math"/>
                <w:i/>
              </w:rPr>
            </m:ctrlPr>
          </m:sSubPr>
          <m:e>
            <m:r>
              <w:rPr>
                <w:rFonts w:ascii="Cambria Math" w:hAnsi="Cambria Math"/>
              </w:rPr>
              <m:t>RT</m:t>
            </m:r>
          </m:e>
          <m:sub>
            <m:r>
              <w:rPr>
                <w:rFonts w:ascii="Cambria Math" w:hAnsi="Cambria Math"/>
              </w:rPr>
              <m:t>T0</m:t>
            </m:r>
          </m:sub>
        </m:sSub>
      </m:oMath>
      <w:r w:rsidR="00505B85">
        <w:t xml:space="preserve">. </w:t>
      </w:r>
      <w:r w:rsidR="004E273D">
        <w:t xml:space="preserve">When </w:t>
      </w:r>
      <w:r w:rsidR="006163E9">
        <w:t>the DSR is triggered</w:t>
      </w:r>
      <w:r w:rsidR="00695EF3">
        <w:t>,</w:t>
      </w:r>
      <w:r w:rsidR="00E572AA">
        <w:t xml:space="preserve"> </w:t>
      </w:r>
      <w:r w:rsidR="00747ED1">
        <w:t xml:space="preserve">there is </w:t>
      </w:r>
      <w:r w:rsidR="001A709C">
        <w:t xml:space="preserve">data </w:t>
      </w:r>
      <w:r w:rsidR="00DC1960">
        <w:t>of PDU set #1</w:t>
      </w:r>
      <w:r w:rsidR="00336342">
        <w:t xml:space="preserve"> (i.e. PDU </w:t>
      </w:r>
      <w:r w:rsidR="0057027D">
        <w:t>#4</w:t>
      </w:r>
      <w:r w:rsidR="002F05E5">
        <w:t>)</w:t>
      </w:r>
      <w:r w:rsidR="0031769D">
        <w:t xml:space="preserve">, </w:t>
      </w:r>
      <w:r w:rsidR="00DC1960">
        <w:t xml:space="preserve">whose </w:t>
      </w:r>
      <w:r w:rsidR="00155692">
        <w:t xml:space="preserve">associated </w:t>
      </w:r>
      <w:r w:rsidR="00DC1960">
        <w:t xml:space="preserve">remaining time </w:t>
      </w:r>
      <m:oMath>
        <m:sSub>
          <m:sSubPr>
            <m:ctrlPr>
              <w:rPr>
                <w:rFonts w:ascii="Cambria Math" w:hAnsi="Cambria Math"/>
                <w:i/>
              </w:rPr>
            </m:ctrlPr>
          </m:sSubPr>
          <m:e>
            <m:r>
              <w:rPr>
                <w:rFonts w:ascii="Cambria Math" w:hAnsi="Cambria Math"/>
              </w:rPr>
              <m:t>RT</m:t>
            </m:r>
          </m:e>
          <m:sub>
            <m:r>
              <w:rPr>
                <w:rFonts w:ascii="Cambria Math" w:hAnsi="Cambria Math"/>
              </w:rPr>
              <m:t>2</m:t>
            </m:r>
          </m:sub>
        </m:sSub>
      </m:oMath>
      <w:r w:rsidR="005C2A5E">
        <w:t xml:space="preserve"> </w:t>
      </w:r>
      <w:r w:rsidR="00DC1960">
        <w:t>i</w:t>
      </w:r>
      <w:r w:rsidR="00A8542F">
        <w:t xml:space="preserve">s in the range </w:t>
      </w:r>
      <w:r w:rsidR="006E489C">
        <w:t>[</w:t>
      </w:r>
      <m:oMath>
        <m:sSub>
          <m:sSubPr>
            <m:ctrlPr>
              <w:rPr>
                <w:rFonts w:ascii="Cambria Math" w:hAnsi="Cambria Math"/>
                <w:i/>
              </w:rPr>
            </m:ctrlPr>
          </m:sSubPr>
          <m:e>
            <m:r>
              <w:rPr>
                <w:rFonts w:ascii="Cambria Math" w:hAnsi="Cambria Math"/>
              </w:rPr>
              <m:t>RT</m:t>
            </m:r>
          </m:e>
          <m:sub>
            <m:r>
              <w:rPr>
                <w:rFonts w:ascii="Cambria Math" w:hAnsi="Cambria Math"/>
              </w:rPr>
              <m:t>T0</m:t>
            </m:r>
          </m:sub>
        </m:sSub>
        <m:r>
          <w:rPr>
            <w:rFonts w:ascii="Cambria Math" w:hAnsi="Cambria Math"/>
          </w:rPr>
          <m:t xml:space="preserve">, </m:t>
        </m:r>
        <m:sSub>
          <m:sSubPr>
            <m:ctrlPr>
              <w:rPr>
                <w:rFonts w:ascii="Cambria Math" w:hAnsi="Cambria Math"/>
                <w:i/>
              </w:rPr>
            </m:ctrlPr>
          </m:sSubPr>
          <m:e>
            <m:r>
              <w:rPr>
                <w:rFonts w:ascii="Cambria Math" w:hAnsi="Cambria Math"/>
              </w:rPr>
              <m:t>RT</m:t>
            </m:r>
          </m:e>
          <m:sub>
            <m:r>
              <w:rPr>
                <w:rFonts w:ascii="Cambria Math" w:hAnsi="Cambria Math"/>
              </w:rPr>
              <m:t>T1</m:t>
            </m:r>
          </m:sub>
        </m:sSub>
      </m:oMath>
      <w:r w:rsidR="006E489C">
        <w:t>)</w:t>
      </w:r>
      <w:r w:rsidR="005C2A5E">
        <w:t>,</w:t>
      </w:r>
      <w:r w:rsidR="0031769D">
        <w:t xml:space="preserve"> </w:t>
      </w:r>
      <w:r w:rsidR="006E489C">
        <w:t xml:space="preserve">which is ahead of </w:t>
      </w:r>
      <w:r w:rsidR="00E918C6">
        <w:t xml:space="preserve">data of </w:t>
      </w:r>
      <w:r w:rsidR="001A709C">
        <w:t>PDU set#0</w:t>
      </w:r>
      <w:r w:rsidR="002F05E5">
        <w:t xml:space="preserve">, </w:t>
      </w:r>
      <w:r w:rsidR="00C60956">
        <w:t xml:space="preserve">whose </w:t>
      </w:r>
      <w:r w:rsidR="00A61295">
        <w:t xml:space="preserve">associated </w:t>
      </w:r>
      <w:r w:rsidR="00F501F4">
        <w:t xml:space="preserve">remaining </w:t>
      </w:r>
      <w:r w:rsidR="002474D3">
        <w:t>time</w:t>
      </w:r>
      <w:r w:rsidR="00766DC2">
        <w:t xml:space="preserve"> </w:t>
      </w:r>
      <w:r w:rsidR="00037A44" w:rsidRPr="00037A44">
        <w:rPr>
          <w:rFonts w:ascii="Cambria Math" w:hAnsi="Cambria Math"/>
          <w:i/>
        </w:rPr>
        <w:br/>
      </w:r>
      <m:oMath>
        <m:sSub>
          <m:sSubPr>
            <m:ctrlPr>
              <w:rPr>
                <w:rFonts w:ascii="Cambria Math" w:hAnsi="Cambria Math"/>
                <w:i/>
              </w:rPr>
            </m:ctrlPr>
          </m:sSubPr>
          <m:e>
            <m:r>
              <w:rPr>
                <w:rFonts w:ascii="Cambria Math" w:hAnsi="Cambria Math"/>
              </w:rPr>
              <m:t>RT</m:t>
            </m:r>
          </m:e>
          <m:sub>
            <m:r>
              <w:rPr>
                <w:rFonts w:ascii="Cambria Math" w:hAnsi="Cambria Math"/>
              </w:rPr>
              <m:t>0</m:t>
            </m:r>
          </m:sub>
        </m:sSub>
      </m:oMath>
      <w:r w:rsidR="00037A44">
        <w:rPr>
          <w:rFonts w:ascii="Cambria Math" w:hAnsi="Cambria Math"/>
          <w:i/>
        </w:rPr>
        <w:t xml:space="preserve"> </w:t>
      </w:r>
      <w:r w:rsidR="00766DC2">
        <w:t>is</w:t>
      </w:r>
      <w:r w:rsidR="003D5A87">
        <w:t xml:space="preserve"> </w:t>
      </w:r>
      <w:r w:rsidR="00E918C6">
        <w:t>in the range [</w:t>
      </w:r>
      <m:oMath>
        <m:r>
          <w:rPr>
            <w:rFonts w:ascii="Cambria Math" w:hAnsi="Cambria Math"/>
          </w:rPr>
          <m:t xml:space="preserve">0, </m:t>
        </m:r>
        <m:sSub>
          <m:sSubPr>
            <m:ctrlPr>
              <w:rPr>
                <w:rFonts w:ascii="Cambria Math" w:hAnsi="Cambria Math"/>
                <w:i/>
              </w:rPr>
            </m:ctrlPr>
          </m:sSubPr>
          <m:e>
            <m:r>
              <w:rPr>
                <w:rFonts w:ascii="Cambria Math" w:hAnsi="Cambria Math"/>
              </w:rPr>
              <m:t>RT</m:t>
            </m:r>
          </m:e>
          <m:sub>
            <m:r>
              <w:rPr>
                <w:rFonts w:ascii="Cambria Math" w:hAnsi="Cambria Math"/>
              </w:rPr>
              <m:t>T0</m:t>
            </m:r>
          </m:sub>
        </m:sSub>
      </m:oMath>
      <w:r w:rsidR="00E918C6">
        <w:t>)</w:t>
      </w:r>
      <w:r w:rsidR="00C60956">
        <w:t xml:space="preserve">. </w:t>
      </w:r>
      <w:r w:rsidR="004420F5">
        <w:t xml:space="preserve">If </w:t>
      </w:r>
      <w:r w:rsidR="00B341C6">
        <w:t xml:space="preserve">the </w:t>
      </w:r>
      <w:r w:rsidR="001C375D">
        <w:t xml:space="preserve">data ahead </w:t>
      </w:r>
      <w:r w:rsidR="006B14F0">
        <w:t>of PDU #</w:t>
      </w:r>
      <w:r w:rsidR="00E516D6">
        <w:t>4</w:t>
      </w:r>
      <w:r w:rsidR="00892FFC">
        <w:t xml:space="preserve"> with</w:t>
      </w:r>
      <w:r w:rsidR="00405ED4">
        <w:t xml:space="preserve"> </w:t>
      </w:r>
      <w:r w:rsidR="00C35F7E">
        <w:t>remaining time larger than the remaining time of PDU #4</w:t>
      </w:r>
      <w:r w:rsidR="00892FFC">
        <w:t xml:space="preserve"> (</w:t>
      </w:r>
      <w:r w:rsidR="00C35F7E">
        <w:t xml:space="preserve">i.e. </w:t>
      </w:r>
      <w:r w:rsidR="0031769D">
        <w:t>PDUs #2 and #3</w:t>
      </w:r>
      <w:r w:rsidR="00892FFC">
        <w:t>)</w:t>
      </w:r>
      <w:r w:rsidR="0031769D">
        <w:t xml:space="preserve"> </w:t>
      </w:r>
      <w:r w:rsidR="00AD0654">
        <w:t>is not included</w:t>
      </w:r>
      <w:r w:rsidR="008D5ED5">
        <w:t xml:space="preserve"> in the BS calculation</w:t>
      </w:r>
      <w:r w:rsidR="00A267F4">
        <w:t xml:space="preserve"> </w:t>
      </w:r>
      <w:r w:rsidR="004A15BB">
        <w:t>of the range [</w:t>
      </w:r>
      <m:oMath>
        <m:sSub>
          <m:sSubPr>
            <m:ctrlPr>
              <w:rPr>
                <w:rFonts w:ascii="Cambria Math" w:hAnsi="Cambria Math"/>
                <w:i/>
              </w:rPr>
            </m:ctrlPr>
          </m:sSubPr>
          <m:e>
            <m:r>
              <w:rPr>
                <w:rFonts w:ascii="Cambria Math" w:hAnsi="Cambria Math"/>
              </w:rPr>
              <m:t>RT</m:t>
            </m:r>
          </m:e>
          <m:sub>
            <m:r>
              <w:rPr>
                <w:rFonts w:ascii="Cambria Math" w:hAnsi="Cambria Math"/>
              </w:rPr>
              <m:t>T0</m:t>
            </m:r>
          </m:sub>
        </m:sSub>
        <m:r>
          <w:rPr>
            <w:rFonts w:ascii="Cambria Math" w:hAnsi="Cambria Math"/>
          </w:rPr>
          <m:t xml:space="preserve">, </m:t>
        </m:r>
        <m:sSub>
          <m:sSubPr>
            <m:ctrlPr>
              <w:rPr>
                <w:rFonts w:ascii="Cambria Math" w:hAnsi="Cambria Math"/>
                <w:i/>
              </w:rPr>
            </m:ctrlPr>
          </m:sSubPr>
          <m:e>
            <m:r>
              <w:rPr>
                <w:rFonts w:ascii="Cambria Math" w:hAnsi="Cambria Math"/>
              </w:rPr>
              <m:t>RT</m:t>
            </m:r>
          </m:e>
          <m:sub>
            <m:r>
              <w:rPr>
                <w:rFonts w:ascii="Cambria Math" w:hAnsi="Cambria Math"/>
              </w:rPr>
              <m:t>T1</m:t>
            </m:r>
          </m:sub>
        </m:sSub>
      </m:oMath>
      <w:r w:rsidR="004A15BB">
        <w:t>)</w:t>
      </w:r>
      <w:r w:rsidR="008D5ED5">
        <w:t>,</w:t>
      </w:r>
      <w:r w:rsidR="00E86C87">
        <w:t xml:space="preserve"> </w:t>
      </w:r>
      <w:r w:rsidR="00892FFC">
        <w:t xml:space="preserve">then </w:t>
      </w:r>
      <w:r w:rsidR="00D53CA2">
        <w:t>t</w:t>
      </w:r>
      <w:r w:rsidR="00506C51">
        <w:t xml:space="preserve">he </w:t>
      </w:r>
      <w:r w:rsidR="00B301D0">
        <w:t xml:space="preserve">DSR </w:t>
      </w:r>
      <w:r w:rsidR="00E01111">
        <w:t xml:space="preserve">with multiple reporting </w:t>
      </w:r>
      <w:r w:rsidR="00544E28">
        <w:t>threshold</w:t>
      </w:r>
      <w:r w:rsidR="001E1E08">
        <w:t>s</w:t>
      </w:r>
      <w:r w:rsidR="004A15BB">
        <w:t xml:space="preserve"> would look like the </w:t>
      </w:r>
      <w:r w:rsidR="004D461A">
        <w:t xml:space="preserve">one </w:t>
      </w:r>
      <w:r w:rsidR="00907541">
        <w:t>depicted in Table 2.</w:t>
      </w:r>
      <w:r w:rsidR="006559F0">
        <w:t>2</w:t>
      </w:r>
      <w:r w:rsidR="00907541">
        <w:t>-1</w:t>
      </w:r>
      <w:r w:rsidR="006559F0">
        <w:t>.</w:t>
      </w:r>
    </w:p>
    <w:p w14:paraId="6F89DC56" w14:textId="24F27CE9" w:rsidR="00907541" w:rsidRPr="006E13D1" w:rsidRDefault="00907541" w:rsidP="00907541">
      <w:pPr>
        <w:pStyle w:val="TH"/>
      </w:pPr>
      <w:r w:rsidRPr="006E13D1">
        <w:t xml:space="preserve">Table </w:t>
      </w:r>
      <w:r>
        <w:t>2.</w:t>
      </w:r>
      <w:r w:rsidR="006559F0">
        <w:t>2</w:t>
      </w:r>
      <w:r>
        <w:t>-1</w:t>
      </w:r>
      <w:r w:rsidRPr="006E13D1">
        <w:t xml:space="preserve">: </w:t>
      </w:r>
      <w:r>
        <w:t>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853"/>
        <w:gridCol w:w="2025"/>
      </w:tblGrid>
      <w:tr w:rsidR="00907541" w:rsidRPr="006E13D1" w14:paraId="018BFBF7" w14:textId="77777777" w:rsidTr="00104C6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16D6BE83" w14:textId="5E5A5B66" w:rsidR="00907541" w:rsidRPr="00B93669" w:rsidRDefault="0050382A">
            <w:pPr>
              <w:pStyle w:val="TAH"/>
              <w:spacing w:before="20" w:after="20"/>
              <w:ind w:left="57" w:right="57"/>
              <w:rPr>
                <w:rFonts w:cs="Arial"/>
                <w:szCs w:val="18"/>
              </w:rPr>
            </w:pPr>
            <w:r w:rsidRPr="00B93669">
              <w:rPr>
                <w:rFonts w:cs="Arial"/>
                <w:szCs w:val="18"/>
              </w:rPr>
              <w:t>R</w:t>
            </w:r>
            <w:r>
              <w:rPr>
                <w:rFonts w:cs="Arial"/>
                <w:szCs w:val="18"/>
              </w:rPr>
              <w:t>emaining Time</w:t>
            </w:r>
            <w:r w:rsidRPr="00B93669">
              <w:rPr>
                <w:rFonts w:cs="Arial"/>
                <w:szCs w:val="18"/>
              </w:rPr>
              <w:t xml:space="preserve"> </w:t>
            </w:r>
            <w:r w:rsidR="00264012">
              <w:rPr>
                <w:rFonts w:cs="Arial"/>
                <w:szCs w:val="18"/>
              </w:rPr>
              <w:t>range</w:t>
            </w:r>
          </w:p>
        </w:tc>
        <w:tc>
          <w:tcPr>
            <w:tcW w:w="2853" w:type="dxa"/>
            <w:tcBorders>
              <w:top w:val="single" w:sz="4" w:space="0" w:color="auto"/>
              <w:left w:val="single" w:sz="4" w:space="0" w:color="auto"/>
              <w:bottom w:val="single" w:sz="4" w:space="0" w:color="auto"/>
              <w:right w:val="single" w:sz="4" w:space="0" w:color="auto"/>
            </w:tcBorders>
          </w:tcPr>
          <w:p w14:paraId="4EC1864C" w14:textId="4B6A9773" w:rsidR="00AF0123" w:rsidRDefault="00AF0123">
            <w:pPr>
              <w:pStyle w:val="TAH"/>
              <w:spacing w:before="20" w:after="20"/>
              <w:ind w:left="57" w:right="57"/>
            </w:pPr>
            <w:r>
              <w:t xml:space="preserve">Reported </w:t>
            </w:r>
            <w:r w:rsidR="0024674F">
              <w:t>Remaining Time</w:t>
            </w:r>
          </w:p>
        </w:tc>
        <w:tc>
          <w:tcPr>
            <w:tcW w:w="2025" w:type="dxa"/>
            <w:tcBorders>
              <w:top w:val="single" w:sz="4" w:space="0" w:color="auto"/>
              <w:left w:val="single" w:sz="4" w:space="0" w:color="auto"/>
              <w:bottom w:val="single" w:sz="4" w:space="0" w:color="auto"/>
              <w:right w:val="single" w:sz="4" w:space="0" w:color="auto"/>
            </w:tcBorders>
            <w:vAlign w:val="bottom"/>
          </w:tcPr>
          <w:p w14:paraId="47577763" w14:textId="704BCDEA" w:rsidR="00907541" w:rsidRPr="006E13D1" w:rsidRDefault="0050382A">
            <w:pPr>
              <w:pStyle w:val="TAH"/>
              <w:spacing w:before="20" w:after="20"/>
              <w:ind w:left="57" w:right="57"/>
            </w:pPr>
            <w:r>
              <w:t xml:space="preserve">Reported </w:t>
            </w:r>
            <w:r w:rsidR="00907541">
              <w:t>Buffer Size</w:t>
            </w:r>
          </w:p>
        </w:tc>
      </w:tr>
      <w:tr w:rsidR="00907541" w:rsidRPr="006E13D1" w14:paraId="50678B98" w14:textId="77777777" w:rsidTr="00104C6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724DF4E4" w14:textId="534101C6" w:rsidR="00907541" w:rsidRPr="006E13D1" w:rsidRDefault="00667390">
            <w:pPr>
              <w:pStyle w:val="TAC"/>
              <w:spacing w:before="20" w:after="20"/>
              <w:ind w:left="57" w:right="57"/>
            </w:pPr>
            <m:oMathPara>
              <m:oMath>
                <m:r>
                  <w:rPr>
                    <w:rFonts w:ascii="Cambria Math" w:hAnsi="Cambria Math"/>
                    <w:sz w:val="20"/>
                  </w:rPr>
                  <m:t>[0,</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oMath>
            </m:oMathPara>
          </w:p>
        </w:tc>
        <w:tc>
          <w:tcPr>
            <w:tcW w:w="2853" w:type="dxa"/>
            <w:tcBorders>
              <w:top w:val="single" w:sz="4" w:space="0" w:color="auto"/>
              <w:left w:val="single" w:sz="4" w:space="0" w:color="auto"/>
              <w:bottom w:val="single" w:sz="4" w:space="0" w:color="auto"/>
              <w:right w:val="single" w:sz="4" w:space="0" w:color="auto"/>
            </w:tcBorders>
          </w:tcPr>
          <w:p w14:paraId="36E9BB7C" w14:textId="3A85409B" w:rsidR="00AE7AC9" w:rsidRDefault="00EA7B94">
            <w:pPr>
              <w:pStyle w:val="TAC"/>
              <w:spacing w:before="20" w:after="20"/>
              <w:ind w:left="57" w:right="57"/>
            </w:pPr>
            <m:oMathPara>
              <m:oMath>
                <m:sSub>
                  <m:sSubPr>
                    <m:ctrlPr>
                      <w:rPr>
                        <w:rFonts w:ascii="Cambria Math" w:hAnsi="Cambria Math"/>
                        <w:i/>
                        <w:sz w:val="20"/>
                      </w:rPr>
                    </m:ctrlPr>
                  </m:sSubPr>
                  <m:e>
                    <m:r>
                      <w:rPr>
                        <w:rFonts w:ascii="Cambria Math" w:hAnsi="Cambria Math"/>
                      </w:rPr>
                      <m:t>RT</m:t>
                    </m:r>
                  </m:e>
                  <m:sub>
                    <m:r>
                      <w:rPr>
                        <w:rFonts w:ascii="Cambria Math" w:hAnsi="Cambria Math"/>
                      </w:rPr>
                      <m:t>0</m:t>
                    </m:r>
                  </m:sub>
                </m:sSub>
              </m:oMath>
            </m:oMathPara>
          </w:p>
        </w:tc>
        <w:tc>
          <w:tcPr>
            <w:tcW w:w="2025" w:type="dxa"/>
            <w:tcBorders>
              <w:top w:val="single" w:sz="4" w:space="0" w:color="auto"/>
              <w:left w:val="single" w:sz="4" w:space="0" w:color="auto"/>
              <w:bottom w:val="single" w:sz="4" w:space="0" w:color="auto"/>
              <w:right w:val="single" w:sz="4" w:space="0" w:color="auto"/>
            </w:tcBorders>
            <w:vAlign w:val="bottom"/>
          </w:tcPr>
          <w:p w14:paraId="33B8B795" w14:textId="38976330" w:rsidR="00907541" w:rsidRPr="006E13D1" w:rsidRDefault="00EA7B94">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oMath>
            </m:oMathPara>
          </w:p>
        </w:tc>
      </w:tr>
      <w:tr w:rsidR="00907541" w:rsidRPr="006E13D1" w14:paraId="3BC278F6" w14:textId="77777777" w:rsidTr="00104C67">
        <w:trPr>
          <w:trHeight w:val="240"/>
          <w:jc w:val="center"/>
        </w:trPr>
        <w:tc>
          <w:tcPr>
            <w:tcW w:w="3096" w:type="dxa"/>
            <w:tcBorders>
              <w:top w:val="single" w:sz="4" w:space="0" w:color="auto"/>
            </w:tcBorders>
            <w:noWrap/>
          </w:tcPr>
          <w:p w14:paraId="2F633676" w14:textId="7FEDF173" w:rsidR="00907541" w:rsidRPr="006E13D1" w:rsidRDefault="002F20E8">
            <w:pPr>
              <w:pStyle w:val="TAC"/>
              <w:spacing w:before="20" w:after="20"/>
              <w:ind w:left="57" w:right="57"/>
            </w:pPr>
            <m:oMathPara>
              <m:oMath>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T1</m:t>
                    </m:r>
                  </m:sub>
                </m:sSub>
                <m:r>
                  <w:rPr>
                    <w:rFonts w:ascii="Cambria Math" w:hAnsi="Cambria Math"/>
                    <w:sz w:val="20"/>
                  </w:rPr>
                  <m:t>)</m:t>
                </m:r>
              </m:oMath>
            </m:oMathPara>
          </w:p>
        </w:tc>
        <w:tc>
          <w:tcPr>
            <w:tcW w:w="2853" w:type="dxa"/>
            <w:tcBorders>
              <w:top w:val="single" w:sz="4" w:space="0" w:color="auto"/>
            </w:tcBorders>
          </w:tcPr>
          <w:p w14:paraId="093E5728" w14:textId="64603BB5" w:rsidR="00AE7AC9" w:rsidRDefault="00EA7B94">
            <w:pPr>
              <w:pStyle w:val="TAC"/>
              <w:spacing w:before="20" w:after="20"/>
              <w:ind w:left="57" w:right="57"/>
              <w:rPr>
                <w:rFonts w:eastAsia="MS Mincho" w:cs="Arial"/>
              </w:rPr>
            </w:pPr>
            <m:oMathPara>
              <m:oMath>
                <m:sSub>
                  <m:sSubPr>
                    <m:ctrlPr>
                      <w:rPr>
                        <w:rFonts w:ascii="Cambria Math" w:hAnsi="Cambria Math"/>
                        <w:i/>
                        <w:sz w:val="20"/>
                      </w:rPr>
                    </m:ctrlPr>
                  </m:sSubPr>
                  <m:e>
                    <m:r>
                      <w:rPr>
                        <w:rFonts w:ascii="Cambria Math" w:hAnsi="Cambria Math"/>
                      </w:rPr>
                      <m:t>RT</m:t>
                    </m:r>
                  </m:e>
                  <m:sub>
                    <m:r>
                      <w:rPr>
                        <w:rFonts w:ascii="Cambria Math" w:hAnsi="Cambria Math"/>
                      </w:rPr>
                      <m:t>2</m:t>
                    </m:r>
                  </m:sub>
                </m:sSub>
              </m:oMath>
            </m:oMathPara>
          </w:p>
        </w:tc>
        <w:tc>
          <w:tcPr>
            <w:tcW w:w="2025" w:type="dxa"/>
            <w:tcBorders>
              <w:top w:val="single" w:sz="4" w:space="0" w:color="auto"/>
            </w:tcBorders>
            <w:vAlign w:val="bottom"/>
          </w:tcPr>
          <w:p w14:paraId="0C2D2A75" w14:textId="6C3499CA" w:rsidR="00907541" w:rsidRPr="006E13D1" w:rsidRDefault="00EA7B94">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oMath>
            </m:oMathPara>
          </w:p>
        </w:tc>
      </w:tr>
    </w:tbl>
    <w:p w14:paraId="2AA8DA26" w14:textId="52D9C3F5" w:rsidR="0067595B" w:rsidRDefault="00901536" w:rsidP="00104C67">
      <w:pPr>
        <w:spacing w:before="120"/>
        <w:jc w:val="both"/>
      </w:pPr>
      <w:r>
        <w:t xml:space="preserve">Then, the </w:t>
      </w:r>
      <w:proofErr w:type="spellStart"/>
      <w:r>
        <w:t>gNB</w:t>
      </w:r>
      <w:proofErr w:type="spellEnd"/>
      <w:r>
        <w:t xml:space="preserve"> </w:t>
      </w:r>
      <w:r w:rsidR="00E85E94">
        <w:t xml:space="preserve">may </w:t>
      </w:r>
      <w:r w:rsidR="00EE6F91">
        <w:t xml:space="preserve">think that </w:t>
      </w:r>
      <w:r w:rsidR="003671D9">
        <w:t>allocating</w:t>
      </w:r>
      <w:r w:rsidR="0050382A">
        <w:t xml:space="preserve"> a transport block</w:t>
      </w:r>
      <w:r w:rsidR="00D17E1E">
        <w:t xml:space="preserve"> size of</w:t>
      </w:r>
      <w:r w:rsidR="001F47F2">
        <w:t xml:space="preserve">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oMath>
      <w:r w:rsidR="00E85E94">
        <w:t xml:space="preserve"> would be enough for </w:t>
      </w:r>
      <w:r w:rsidR="001F47F2">
        <w:t xml:space="preserve">the UE </w:t>
      </w:r>
      <w:r w:rsidR="00E85E94">
        <w:t xml:space="preserve">to </w:t>
      </w:r>
      <w:r w:rsidR="001F47F2">
        <w:t xml:space="preserve">transmit data </w:t>
      </w:r>
      <w:r w:rsidR="00094744">
        <w:t>with</w:t>
      </w:r>
      <w:r w:rsidR="00E17221">
        <w:t xml:space="preserve"> </w:t>
      </w:r>
      <w:r w:rsidR="007273BE">
        <w:t xml:space="preserve">associated </w:t>
      </w:r>
      <w:r w:rsidR="00CD20B2">
        <w:t xml:space="preserve">remaining time </w:t>
      </w:r>
      <m:oMath>
        <m:sSub>
          <m:sSubPr>
            <m:ctrlPr>
              <w:rPr>
                <w:rFonts w:ascii="Cambria Math" w:hAnsi="Cambria Math"/>
                <w:i/>
              </w:rPr>
            </m:ctrlPr>
          </m:sSubPr>
          <m:e>
            <m:r>
              <w:rPr>
                <w:rFonts w:ascii="Cambria Math" w:hAnsi="Cambria Math"/>
              </w:rPr>
              <m:t>RT</m:t>
            </m:r>
          </m:e>
          <m:sub>
            <m:r>
              <w:rPr>
                <w:rFonts w:ascii="Cambria Math" w:hAnsi="Cambria Math"/>
              </w:rPr>
              <m:t>0</m:t>
            </m:r>
          </m:sub>
        </m:sSub>
      </m:oMath>
      <w:r w:rsidR="00CD20B2">
        <w:t>. However, this is not the case</w:t>
      </w:r>
      <w:r w:rsidR="0071324D">
        <w:t>. Therefore</w:t>
      </w:r>
      <w:r w:rsidR="00CE1D7F">
        <w:t xml:space="preserve">, </w:t>
      </w:r>
      <w:r w:rsidR="00DA345B">
        <w:t xml:space="preserve">a better option for </w:t>
      </w:r>
      <w:r w:rsidR="00CE1D7F">
        <w:t xml:space="preserve">the DSR with </w:t>
      </w:r>
      <w:r w:rsidR="000F32AB">
        <w:t>multiple reportin</w:t>
      </w:r>
      <w:r w:rsidR="00DC3031">
        <w:t>g thresholds</w:t>
      </w:r>
      <w:r w:rsidR="001F6F3B">
        <w:t xml:space="preserve"> </w:t>
      </w:r>
      <w:r w:rsidR="001D1217">
        <w:t xml:space="preserve">would be the one </w:t>
      </w:r>
      <w:r w:rsidR="006559F0">
        <w:t>shown in Table 2.2-2.</w:t>
      </w:r>
    </w:p>
    <w:p w14:paraId="6210EF77" w14:textId="42343E54" w:rsidR="006559F0" w:rsidRPr="006E13D1" w:rsidRDefault="003E3CF5" w:rsidP="006559F0">
      <w:pPr>
        <w:pStyle w:val="TH"/>
      </w:pPr>
      <w:r>
        <w:t xml:space="preserve"> </w:t>
      </w:r>
      <w:r w:rsidR="00CE50D6">
        <w:t xml:space="preserve"> </w:t>
      </w:r>
      <w:r w:rsidR="00B40143">
        <w:t xml:space="preserve"> </w:t>
      </w:r>
      <w:r w:rsidR="00695EF3">
        <w:t xml:space="preserve"> </w:t>
      </w:r>
      <w:r w:rsidR="006559F0" w:rsidRPr="006E13D1">
        <w:t xml:space="preserve">Table </w:t>
      </w:r>
      <w:r w:rsidR="006559F0">
        <w:t>2.2-2</w:t>
      </w:r>
      <w:r w:rsidR="006559F0" w:rsidRPr="006E13D1">
        <w:t xml:space="preserve">: </w:t>
      </w:r>
      <w:r w:rsidR="006559F0">
        <w:t>Buffer size in multiple reporting thresholds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096"/>
        <w:gridCol w:w="2711"/>
        <w:gridCol w:w="2086"/>
      </w:tblGrid>
      <w:tr w:rsidR="0050382A" w:rsidRPr="006E13D1" w14:paraId="5869D40B" w14:textId="77777777" w:rsidTr="00104C67">
        <w:trPr>
          <w:trHeight w:val="240"/>
          <w:jc w:val="center"/>
        </w:trPr>
        <w:tc>
          <w:tcPr>
            <w:tcW w:w="3096" w:type="dxa"/>
            <w:tcBorders>
              <w:top w:val="single" w:sz="4" w:space="0" w:color="auto"/>
              <w:left w:val="single" w:sz="4" w:space="0" w:color="auto"/>
              <w:bottom w:val="single" w:sz="4" w:space="0" w:color="auto"/>
              <w:right w:val="single" w:sz="4" w:space="0" w:color="auto"/>
            </w:tcBorders>
            <w:noWrap/>
            <w:vAlign w:val="bottom"/>
          </w:tcPr>
          <w:p w14:paraId="3EBF91CE" w14:textId="0EDE1F70" w:rsidR="0050382A" w:rsidRPr="00B93669" w:rsidRDefault="0050382A" w:rsidP="0050382A">
            <w:pPr>
              <w:pStyle w:val="TAH"/>
              <w:spacing w:before="20" w:after="20"/>
              <w:ind w:left="57" w:right="57"/>
              <w:rPr>
                <w:rFonts w:cs="Arial"/>
                <w:szCs w:val="18"/>
              </w:rPr>
            </w:pPr>
            <w:r w:rsidRPr="00B93669">
              <w:rPr>
                <w:rFonts w:cs="Arial"/>
                <w:szCs w:val="18"/>
              </w:rPr>
              <w:t>R</w:t>
            </w:r>
            <w:r>
              <w:rPr>
                <w:rFonts w:cs="Arial"/>
                <w:szCs w:val="18"/>
              </w:rPr>
              <w:t>emaining Time</w:t>
            </w:r>
            <w:r w:rsidRPr="00B93669">
              <w:rPr>
                <w:rFonts w:cs="Arial"/>
                <w:szCs w:val="18"/>
              </w:rPr>
              <w:t xml:space="preserve"> </w:t>
            </w:r>
            <w:r>
              <w:rPr>
                <w:rFonts w:cs="Arial"/>
                <w:szCs w:val="18"/>
              </w:rPr>
              <w:t>range</w:t>
            </w:r>
          </w:p>
        </w:tc>
        <w:tc>
          <w:tcPr>
            <w:tcW w:w="2711" w:type="dxa"/>
            <w:tcBorders>
              <w:top w:val="single" w:sz="4" w:space="0" w:color="auto"/>
              <w:left w:val="single" w:sz="4" w:space="0" w:color="auto"/>
              <w:bottom w:val="single" w:sz="4" w:space="0" w:color="auto"/>
              <w:right w:val="single" w:sz="4" w:space="0" w:color="auto"/>
            </w:tcBorders>
          </w:tcPr>
          <w:p w14:paraId="48794F27" w14:textId="40A71173" w:rsidR="0050382A" w:rsidRDefault="0050382A" w:rsidP="0050382A">
            <w:pPr>
              <w:pStyle w:val="TAH"/>
              <w:spacing w:before="20" w:after="20"/>
              <w:ind w:left="57" w:right="57"/>
            </w:pPr>
            <w:r>
              <w:t>Reported Remaining Time</w:t>
            </w:r>
          </w:p>
        </w:tc>
        <w:tc>
          <w:tcPr>
            <w:tcW w:w="2086" w:type="dxa"/>
            <w:tcBorders>
              <w:top w:val="single" w:sz="4" w:space="0" w:color="auto"/>
              <w:left w:val="single" w:sz="4" w:space="0" w:color="auto"/>
              <w:bottom w:val="single" w:sz="4" w:space="0" w:color="auto"/>
              <w:right w:val="single" w:sz="4" w:space="0" w:color="auto"/>
            </w:tcBorders>
            <w:vAlign w:val="bottom"/>
          </w:tcPr>
          <w:p w14:paraId="5649630D" w14:textId="6455367A" w:rsidR="0050382A" w:rsidRPr="006E13D1" w:rsidRDefault="0050382A" w:rsidP="0050382A">
            <w:pPr>
              <w:pStyle w:val="TAH"/>
              <w:spacing w:before="20" w:after="20"/>
              <w:ind w:left="57" w:right="57"/>
            </w:pPr>
            <w:r>
              <w:t>Reported Buffer Size</w:t>
            </w:r>
          </w:p>
        </w:tc>
      </w:tr>
      <w:tr w:rsidR="006559F0" w:rsidRPr="006E13D1" w14:paraId="764B7A18" w14:textId="77777777" w:rsidTr="00104C67">
        <w:trPr>
          <w:trHeight w:val="240"/>
          <w:jc w:val="center"/>
        </w:trPr>
        <w:tc>
          <w:tcPr>
            <w:tcW w:w="3096" w:type="dxa"/>
            <w:tcBorders>
              <w:top w:val="single" w:sz="4" w:space="0" w:color="auto"/>
              <w:left w:val="single" w:sz="4" w:space="0" w:color="auto"/>
              <w:bottom w:val="single" w:sz="4" w:space="0" w:color="auto"/>
              <w:right w:val="single" w:sz="4" w:space="0" w:color="auto"/>
            </w:tcBorders>
            <w:noWrap/>
          </w:tcPr>
          <w:p w14:paraId="6EF8A088" w14:textId="3417CE06" w:rsidR="006559F0" w:rsidRPr="006E13D1" w:rsidRDefault="002026D7">
            <w:pPr>
              <w:pStyle w:val="TAC"/>
              <w:spacing w:before="20" w:after="20"/>
              <w:ind w:left="57" w:right="57"/>
            </w:pPr>
            <m:oMathPara>
              <m:oMath>
                <m:r>
                  <w:rPr>
                    <w:rFonts w:ascii="Cambria Math" w:hAnsi="Cambria Math"/>
                    <w:sz w:val="20"/>
                  </w:rPr>
                  <m:t>[0,</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oMath>
            </m:oMathPara>
          </w:p>
        </w:tc>
        <w:tc>
          <w:tcPr>
            <w:tcW w:w="2711" w:type="dxa"/>
            <w:tcBorders>
              <w:top w:val="single" w:sz="4" w:space="0" w:color="auto"/>
              <w:left w:val="single" w:sz="4" w:space="0" w:color="auto"/>
              <w:bottom w:val="single" w:sz="4" w:space="0" w:color="auto"/>
              <w:right w:val="single" w:sz="4" w:space="0" w:color="auto"/>
            </w:tcBorders>
          </w:tcPr>
          <w:p w14:paraId="04E0B1CE" w14:textId="0AE4307D" w:rsidR="00AE7AC9" w:rsidRDefault="00EA7B94" w:rsidP="00556533">
            <w:pPr>
              <w:pStyle w:val="TAC"/>
              <w:spacing w:before="20" w:after="20"/>
              <w:ind w:left="57" w:right="57"/>
            </w:pPr>
            <m:oMathPara>
              <m:oMath>
                <m:sSub>
                  <m:sSubPr>
                    <m:ctrlPr>
                      <w:rPr>
                        <w:rFonts w:ascii="Cambria Math" w:hAnsi="Cambria Math"/>
                        <w:i/>
                        <w:sz w:val="20"/>
                      </w:rPr>
                    </m:ctrlPr>
                  </m:sSubPr>
                  <m:e>
                    <m:r>
                      <w:rPr>
                        <w:rFonts w:ascii="Cambria Math" w:hAnsi="Cambria Math"/>
                      </w:rPr>
                      <m:t>RT</m:t>
                    </m:r>
                  </m:e>
                  <m:sub>
                    <m:r>
                      <w:rPr>
                        <w:rFonts w:ascii="Cambria Math" w:hAnsi="Cambria Math"/>
                      </w:rPr>
                      <m:t>0</m:t>
                    </m:r>
                  </m:sub>
                </m:sSub>
              </m:oMath>
            </m:oMathPara>
          </w:p>
        </w:tc>
        <w:tc>
          <w:tcPr>
            <w:tcW w:w="2086" w:type="dxa"/>
            <w:tcBorders>
              <w:top w:val="single" w:sz="4" w:space="0" w:color="auto"/>
              <w:left w:val="single" w:sz="4" w:space="0" w:color="auto"/>
              <w:bottom w:val="single" w:sz="4" w:space="0" w:color="auto"/>
              <w:right w:val="single" w:sz="4" w:space="0" w:color="auto"/>
            </w:tcBorders>
            <w:vAlign w:val="bottom"/>
          </w:tcPr>
          <w:p w14:paraId="533368E2" w14:textId="091EFD1B" w:rsidR="006559F0" w:rsidRPr="006E13D1" w:rsidRDefault="00EA7B94">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+S</m:t>
                    </m:r>
                  </m:e>
                  <m:sub>
                    <m:r>
                      <w:rPr>
                        <w:rFonts w:ascii="Cambria Math" w:hAnsi="Cambria Math"/>
                      </w:rPr>
                      <m:t>4</m:t>
                    </m:r>
                  </m:sub>
                </m:sSub>
              </m:oMath>
            </m:oMathPara>
          </w:p>
        </w:tc>
      </w:tr>
      <w:tr w:rsidR="006559F0" w:rsidRPr="006E13D1" w14:paraId="5FFD937D" w14:textId="77777777" w:rsidTr="00104C67">
        <w:trPr>
          <w:trHeight w:val="240"/>
          <w:jc w:val="center"/>
        </w:trPr>
        <w:tc>
          <w:tcPr>
            <w:tcW w:w="3096" w:type="dxa"/>
            <w:tcBorders>
              <w:top w:val="single" w:sz="4" w:space="0" w:color="auto"/>
            </w:tcBorders>
            <w:noWrap/>
          </w:tcPr>
          <w:p w14:paraId="4897DC4F" w14:textId="5F3B50A7" w:rsidR="006559F0" w:rsidRPr="006E13D1" w:rsidRDefault="001D2553">
            <w:pPr>
              <w:pStyle w:val="TAC"/>
              <w:spacing w:before="20" w:after="20"/>
              <w:ind w:left="57" w:right="57"/>
            </w:pPr>
            <m:oMathPara>
              <m:oMath>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T0</m:t>
                    </m:r>
                  </m:sub>
                </m:sSub>
                <m:r>
                  <w:rPr>
                    <w:rFonts w:ascii="Cambria Math" w:hAnsi="Cambria Math"/>
                    <w:sz w:val="20"/>
                  </w:rPr>
                  <m:t>,</m:t>
                </m:r>
                <m:sSub>
                  <m:sSubPr>
                    <m:ctrlPr>
                      <w:rPr>
                        <w:rFonts w:ascii="Cambria Math" w:hAnsi="Cambria Math"/>
                        <w:i/>
                        <w:sz w:val="20"/>
                      </w:rPr>
                    </m:ctrlPr>
                  </m:sSubPr>
                  <m:e>
                    <m:r>
                      <w:rPr>
                        <w:rFonts w:ascii="Cambria Math" w:hAnsi="Cambria Math"/>
                      </w:rPr>
                      <m:t>RT</m:t>
                    </m:r>
                  </m:e>
                  <m:sub>
                    <m:r>
                      <w:rPr>
                        <w:rFonts w:ascii="Cambria Math" w:hAnsi="Cambria Math"/>
                      </w:rPr>
                      <m:t>T1</m:t>
                    </m:r>
                  </m:sub>
                </m:sSub>
                <m:r>
                  <w:rPr>
                    <w:rFonts w:ascii="Cambria Math" w:hAnsi="Cambria Math"/>
                    <w:sz w:val="20"/>
                  </w:rPr>
                  <m:t>)</m:t>
                </m:r>
              </m:oMath>
            </m:oMathPara>
          </w:p>
        </w:tc>
        <w:tc>
          <w:tcPr>
            <w:tcW w:w="2711" w:type="dxa"/>
            <w:tcBorders>
              <w:top w:val="single" w:sz="4" w:space="0" w:color="auto"/>
            </w:tcBorders>
          </w:tcPr>
          <w:p w14:paraId="4EDDE928" w14:textId="6F24F057" w:rsidR="00AE7AC9" w:rsidRDefault="00EA7B94" w:rsidP="00556533">
            <w:pPr>
              <w:pStyle w:val="TAC"/>
              <w:spacing w:before="20" w:after="20"/>
              <w:ind w:left="57" w:right="57"/>
              <w:rPr>
                <w:rFonts w:eastAsia="MS Mincho" w:cs="Arial"/>
              </w:rPr>
            </w:pPr>
            <m:oMathPara>
              <m:oMath>
                <m:sSub>
                  <m:sSubPr>
                    <m:ctrlPr>
                      <w:rPr>
                        <w:rFonts w:ascii="Cambria Math" w:hAnsi="Cambria Math"/>
                        <w:i/>
                        <w:sz w:val="20"/>
                      </w:rPr>
                    </m:ctrlPr>
                  </m:sSubPr>
                  <m:e>
                    <m:r>
                      <w:rPr>
                        <w:rFonts w:ascii="Cambria Math" w:hAnsi="Cambria Math"/>
                      </w:rPr>
                      <m:t>RT</m:t>
                    </m:r>
                  </m:e>
                  <m:sub>
                    <m:r>
                      <w:rPr>
                        <w:rFonts w:ascii="Cambria Math" w:hAnsi="Cambria Math"/>
                      </w:rPr>
                      <m:t>2</m:t>
                    </m:r>
                  </m:sub>
                </m:sSub>
              </m:oMath>
            </m:oMathPara>
          </w:p>
        </w:tc>
        <w:tc>
          <w:tcPr>
            <w:tcW w:w="2086" w:type="dxa"/>
            <w:tcBorders>
              <w:top w:val="single" w:sz="4" w:space="0" w:color="auto"/>
            </w:tcBorders>
            <w:vAlign w:val="bottom"/>
          </w:tcPr>
          <w:p w14:paraId="04EBAAA1" w14:textId="351056C7" w:rsidR="006559F0" w:rsidRPr="006E13D1" w:rsidRDefault="00EA7B94">
            <w:pPr>
              <w:pStyle w:val="TAC"/>
              <w:spacing w:before="20" w:after="20"/>
              <w:ind w:left="57" w:right="57"/>
            </w:pPr>
            <m:oMathPara>
              <m:oMath>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oMath>
            </m:oMathPara>
          </w:p>
        </w:tc>
      </w:tr>
    </w:tbl>
    <w:p w14:paraId="09D202B3" w14:textId="0993FC60" w:rsidR="00253B67" w:rsidRPr="00240B3E" w:rsidRDefault="00065F3A" w:rsidP="00104C67">
      <w:pPr>
        <w:spacing w:before="120"/>
        <w:rPr>
          <w:lang w:val="en-US"/>
        </w:rPr>
      </w:pPr>
      <w:r w:rsidDel="00D72B3F">
        <w:rPr>
          <w:b/>
          <w:bCs/>
        </w:rPr>
        <w:t>Proposal 4</w:t>
      </w:r>
      <w:r w:rsidRPr="0025229E" w:rsidDel="00D72B3F">
        <w:t>:</w:t>
      </w:r>
      <w:r w:rsidRPr="00065F3A" w:rsidDel="00D72B3F">
        <w:t xml:space="preserve"> </w:t>
      </w:r>
      <w:r w:rsidR="00E274EA" w:rsidRPr="00E274EA">
        <w:t xml:space="preserve">Include in the BS calculation for DSR corresponding to a </w:t>
      </w:r>
      <w:r w:rsidR="00E274EA">
        <w:t>re</w:t>
      </w:r>
      <w:r w:rsidR="0098529A">
        <w:t xml:space="preserve">maining time </w:t>
      </w:r>
      <w:r w:rsidR="00E274EA" w:rsidRPr="00E274EA">
        <w:t xml:space="preserve">range all PDUs until the last PDU belonging to any PDU set whose associated remaining time is within the </w:t>
      </w:r>
      <w:r w:rsidR="00E274EA">
        <w:t>re</w:t>
      </w:r>
      <w:r w:rsidR="0098529A">
        <w:t>maining time</w:t>
      </w:r>
      <w:r w:rsidR="00E274EA" w:rsidRPr="00E274EA">
        <w:t xml:space="preserve"> range</w:t>
      </w:r>
      <w:r w:rsidR="0025229E" w:rsidRPr="0025229E">
        <w:rPr>
          <w:lang w:val="en-US"/>
        </w:rPr>
        <w:t>.</w:t>
      </w:r>
    </w:p>
    <w:p w14:paraId="16CB5684" w14:textId="77777777" w:rsidR="008B549E" w:rsidRPr="006E13D1" w:rsidRDefault="008B549E" w:rsidP="008B549E">
      <w:pPr>
        <w:pStyle w:val="Heading1"/>
      </w:pPr>
      <w:r>
        <w:t>3</w:t>
      </w:r>
      <w:r w:rsidRPr="006E13D1">
        <w:tab/>
      </w:r>
      <w:r>
        <w:t>Conclusion</w:t>
      </w:r>
    </w:p>
    <w:p w14:paraId="766D4156" w14:textId="0CB97FB6" w:rsidR="008B549E" w:rsidRPr="006E13D1" w:rsidRDefault="002F5FB7" w:rsidP="008B549E">
      <w:r>
        <w:t>Details on DSR enhancements are discussed in this contribution with the following</w:t>
      </w:r>
      <w:r w:rsidR="00454AE3">
        <w:t xml:space="preserve"> observation and</w:t>
      </w:r>
      <w:r>
        <w:t xml:space="preserve"> proposals proposed:</w:t>
      </w:r>
    </w:p>
    <w:p w14:paraId="46CFA014" w14:textId="77777777" w:rsidR="00454AE3" w:rsidRDefault="00454AE3" w:rsidP="00454AE3">
      <w:pPr>
        <w:spacing w:before="120"/>
        <w:jc w:val="both"/>
      </w:pPr>
      <w:r w:rsidRPr="00F26B20">
        <w:rPr>
          <w:b/>
        </w:rPr>
        <w:t>Observation</w:t>
      </w:r>
      <w:r w:rsidRPr="00F26B20">
        <w:rPr>
          <w:b/>
          <w:bCs/>
        </w:rPr>
        <w:t xml:space="preserve"> 1</w:t>
      </w:r>
      <w:r>
        <w:t>: No impact on DSR trigger and cancellation with multiple reporting thresholds even if there is a reporting threshold higher than the triggering threshold.</w:t>
      </w:r>
    </w:p>
    <w:p w14:paraId="433ED47B" w14:textId="77777777" w:rsidR="005C2EB6" w:rsidRPr="0095531E" w:rsidRDefault="005C2EB6" w:rsidP="005C2EB6">
      <w:pPr>
        <w:jc w:val="both"/>
        <w:rPr>
          <w:lang w:val="en-US"/>
        </w:rPr>
      </w:pPr>
      <w:r w:rsidRPr="0095531E">
        <w:rPr>
          <w:b/>
          <w:bCs/>
        </w:rPr>
        <w:t>Proposal 1</w:t>
      </w:r>
      <w:r w:rsidRPr="0095531E">
        <w:t xml:space="preserve">: </w:t>
      </w:r>
      <w:r>
        <w:t xml:space="preserve">The DSR triggering </w:t>
      </w:r>
      <w:proofErr w:type="gramStart"/>
      <w:r w:rsidRPr="0095531E">
        <w:t>threshold</w:t>
      </w:r>
      <w:proofErr w:type="gramEnd"/>
      <w:r w:rsidRPr="0095531E">
        <w:t xml:space="preserve"> and the </w:t>
      </w:r>
      <w:r>
        <w:t>reporting</w:t>
      </w:r>
      <w:r w:rsidRPr="0095531E">
        <w:t xml:space="preserve"> threshold(s) </w:t>
      </w:r>
      <w:r>
        <w:t>are</w:t>
      </w:r>
      <w:r w:rsidRPr="0095531E">
        <w:t xml:space="preserve"> separately configured. </w:t>
      </w:r>
      <w:r w:rsidRPr="0095531E">
        <w:rPr>
          <w:lang w:val="en-US"/>
        </w:rPr>
        <w:t> </w:t>
      </w:r>
    </w:p>
    <w:p w14:paraId="635CA72D" w14:textId="77777777" w:rsidR="005C2EB6" w:rsidRDefault="005C2EB6" w:rsidP="005C2EB6">
      <w:pPr>
        <w:jc w:val="both"/>
        <w:rPr>
          <w:lang w:val="en-US"/>
        </w:rPr>
      </w:pPr>
      <w:r w:rsidRPr="00411371">
        <w:rPr>
          <w:b/>
          <w:bCs/>
          <w:lang w:val="en-US"/>
        </w:rPr>
        <w:t xml:space="preserve">Proposal </w:t>
      </w:r>
      <w:r>
        <w:rPr>
          <w:b/>
          <w:bCs/>
          <w:lang w:val="en-US"/>
        </w:rPr>
        <w:t>2</w:t>
      </w:r>
      <w:r>
        <w:rPr>
          <w:lang w:val="en-US"/>
        </w:rPr>
        <w:t>: for each reported BS/RT entry, an extension bit is used to indicate whether there is further BS/RT pair following for the LCG (the R bit in RT octet can be used).</w:t>
      </w:r>
    </w:p>
    <w:p w14:paraId="74865E62" w14:textId="77777777" w:rsidR="005C2EB6" w:rsidRDefault="005C2EB6" w:rsidP="005C2EB6">
      <w:pPr>
        <w:jc w:val="both"/>
        <w:rPr>
          <w:lang w:val="en-US"/>
        </w:rPr>
      </w:pPr>
      <w:r w:rsidRPr="00411371">
        <w:rPr>
          <w:b/>
          <w:bCs/>
          <w:lang w:val="en-US"/>
        </w:rPr>
        <w:t xml:space="preserve">Proposal </w:t>
      </w:r>
      <w:r>
        <w:rPr>
          <w:b/>
          <w:bCs/>
          <w:lang w:val="en-US"/>
        </w:rPr>
        <w:t>3</w:t>
      </w:r>
      <w:r>
        <w:rPr>
          <w:lang w:val="en-US"/>
        </w:rPr>
        <w:t>: Rel-19 DSR format is used when there is any LCG configured with multiple reporting thresholds since there is no overhead difference from legacy DSR even if all the LCGs are with single entry.</w:t>
      </w:r>
    </w:p>
    <w:p w14:paraId="35F222F4" w14:textId="56B53C39" w:rsidR="00080512" w:rsidRPr="005A5862" w:rsidRDefault="005C2EB6" w:rsidP="005C2EB6">
      <w:r w:rsidRPr="0025229E">
        <w:rPr>
          <w:b/>
          <w:bCs/>
        </w:rPr>
        <w:t xml:space="preserve">Proposal </w:t>
      </w:r>
      <w:r>
        <w:rPr>
          <w:b/>
          <w:bCs/>
        </w:rPr>
        <w:t>4</w:t>
      </w:r>
      <w:r w:rsidRPr="0025229E">
        <w:t xml:space="preserve">: </w:t>
      </w:r>
      <w:r w:rsidRPr="00E274EA">
        <w:t xml:space="preserve">Include in the BS calculation for DSR corresponding to a </w:t>
      </w:r>
      <w:r w:rsidR="00104C67">
        <w:t xml:space="preserve">remaining time </w:t>
      </w:r>
      <w:r w:rsidRPr="00E274EA">
        <w:t xml:space="preserve">range all PDUs until the last PDU belonging to any PDU set whose associated remaining time is within the </w:t>
      </w:r>
      <w:r w:rsidR="00104C67">
        <w:t xml:space="preserve">remaining time </w:t>
      </w:r>
      <w:r w:rsidRPr="00E274EA">
        <w:t>range</w:t>
      </w:r>
      <w:r w:rsidRPr="0025229E">
        <w:rPr>
          <w:lang w:val="en-US"/>
        </w:rPr>
        <w:t>.</w:t>
      </w:r>
    </w:p>
    <w:sectPr w:rsidR="00080512" w:rsidRPr="005A5862">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4A475" w14:textId="77777777" w:rsidR="00C92AE9" w:rsidRDefault="00C92AE9">
      <w:r>
        <w:separator/>
      </w:r>
    </w:p>
  </w:endnote>
  <w:endnote w:type="continuationSeparator" w:id="0">
    <w:p w14:paraId="75E697CF" w14:textId="77777777" w:rsidR="00C92AE9" w:rsidRDefault="00C92AE9">
      <w:r>
        <w:continuationSeparator/>
      </w:r>
    </w:p>
  </w:endnote>
  <w:endnote w:type="continuationNotice" w:id="1">
    <w:p w14:paraId="782F45E4" w14:textId="77777777" w:rsidR="00C92AE9" w:rsidRDefault="00C92A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A2A77" w14:textId="77777777" w:rsidR="00591047" w:rsidRDefault="005910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C223B8" w14:textId="77777777" w:rsidR="00591047" w:rsidRDefault="005910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949C5D" w14:textId="77777777" w:rsidR="00591047" w:rsidRDefault="005910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26409C" w14:textId="77777777" w:rsidR="00C92AE9" w:rsidRDefault="00C92AE9">
      <w:r>
        <w:separator/>
      </w:r>
    </w:p>
  </w:footnote>
  <w:footnote w:type="continuationSeparator" w:id="0">
    <w:p w14:paraId="77F0BA16" w14:textId="77777777" w:rsidR="00C92AE9" w:rsidRDefault="00C92AE9">
      <w:r>
        <w:continuationSeparator/>
      </w:r>
    </w:p>
  </w:footnote>
  <w:footnote w:type="continuationNotice" w:id="1">
    <w:p w14:paraId="02F5C005" w14:textId="77777777" w:rsidR="00C92AE9" w:rsidRDefault="00C92A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FEA52F" w14:textId="77777777" w:rsidR="00591047" w:rsidRDefault="005910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E0CA4B" w14:textId="77777777" w:rsidR="00591047" w:rsidRDefault="005910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251F97" w14:textId="77777777" w:rsidR="00591047" w:rsidRDefault="005910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E3BF7"/>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507BC6"/>
    <w:multiLevelType w:val="hybridMultilevel"/>
    <w:tmpl w:val="473C4032"/>
    <w:lvl w:ilvl="0" w:tplc="18086912">
      <w:start w:val="1"/>
      <w:numFmt w:val="decimal"/>
      <w:lvlText w:val="%1)"/>
      <w:lvlJc w:val="left"/>
      <w:pPr>
        <w:ind w:left="1020" w:hanging="360"/>
      </w:pPr>
    </w:lvl>
    <w:lvl w:ilvl="1" w:tplc="5B22AD24">
      <w:start w:val="1"/>
      <w:numFmt w:val="decimal"/>
      <w:lvlText w:val="%2)"/>
      <w:lvlJc w:val="left"/>
      <w:pPr>
        <w:ind w:left="1020" w:hanging="360"/>
      </w:pPr>
    </w:lvl>
    <w:lvl w:ilvl="2" w:tplc="C48CBD62">
      <w:start w:val="1"/>
      <w:numFmt w:val="decimal"/>
      <w:lvlText w:val="%3)"/>
      <w:lvlJc w:val="left"/>
      <w:pPr>
        <w:ind w:left="1020" w:hanging="360"/>
      </w:pPr>
    </w:lvl>
    <w:lvl w:ilvl="3" w:tplc="FCC6E69A">
      <w:start w:val="1"/>
      <w:numFmt w:val="decimal"/>
      <w:lvlText w:val="%4)"/>
      <w:lvlJc w:val="left"/>
      <w:pPr>
        <w:ind w:left="1020" w:hanging="360"/>
      </w:pPr>
    </w:lvl>
    <w:lvl w:ilvl="4" w:tplc="3636487A">
      <w:start w:val="1"/>
      <w:numFmt w:val="decimal"/>
      <w:lvlText w:val="%5)"/>
      <w:lvlJc w:val="left"/>
      <w:pPr>
        <w:ind w:left="1020" w:hanging="360"/>
      </w:pPr>
    </w:lvl>
    <w:lvl w:ilvl="5" w:tplc="D4D23E86">
      <w:start w:val="1"/>
      <w:numFmt w:val="decimal"/>
      <w:lvlText w:val="%6)"/>
      <w:lvlJc w:val="left"/>
      <w:pPr>
        <w:ind w:left="1020" w:hanging="360"/>
      </w:pPr>
    </w:lvl>
    <w:lvl w:ilvl="6" w:tplc="EF6811A4">
      <w:start w:val="1"/>
      <w:numFmt w:val="decimal"/>
      <w:lvlText w:val="%7)"/>
      <w:lvlJc w:val="left"/>
      <w:pPr>
        <w:ind w:left="1020" w:hanging="360"/>
      </w:pPr>
    </w:lvl>
    <w:lvl w:ilvl="7" w:tplc="1D640F98">
      <w:start w:val="1"/>
      <w:numFmt w:val="decimal"/>
      <w:lvlText w:val="%8)"/>
      <w:lvlJc w:val="left"/>
      <w:pPr>
        <w:ind w:left="1020" w:hanging="360"/>
      </w:pPr>
    </w:lvl>
    <w:lvl w:ilvl="8" w:tplc="8FFA09A6">
      <w:start w:val="1"/>
      <w:numFmt w:val="decimal"/>
      <w:lvlText w:val="%9)"/>
      <w:lvlJc w:val="left"/>
      <w:pPr>
        <w:ind w:left="1020" w:hanging="36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A3A344B"/>
    <w:multiLevelType w:val="hybridMultilevel"/>
    <w:tmpl w:val="B7B08174"/>
    <w:lvl w:ilvl="0" w:tplc="E4284D62">
      <w:start w:val="1"/>
      <w:numFmt w:val="decimal"/>
      <w:lvlText w:val="%1)"/>
      <w:lvlJc w:val="left"/>
      <w:pPr>
        <w:ind w:left="1020" w:hanging="360"/>
      </w:pPr>
    </w:lvl>
    <w:lvl w:ilvl="1" w:tplc="FA60BFDC">
      <w:start w:val="1"/>
      <w:numFmt w:val="decimal"/>
      <w:lvlText w:val="%2)"/>
      <w:lvlJc w:val="left"/>
      <w:pPr>
        <w:ind w:left="1020" w:hanging="360"/>
      </w:pPr>
    </w:lvl>
    <w:lvl w:ilvl="2" w:tplc="EF38C7FC">
      <w:start w:val="1"/>
      <w:numFmt w:val="decimal"/>
      <w:lvlText w:val="%3)"/>
      <w:lvlJc w:val="left"/>
      <w:pPr>
        <w:ind w:left="1020" w:hanging="360"/>
      </w:pPr>
    </w:lvl>
    <w:lvl w:ilvl="3" w:tplc="CAF0E81A">
      <w:start w:val="1"/>
      <w:numFmt w:val="decimal"/>
      <w:lvlText w:val="%4)"/>
      <w:lvlJc w:val="left"/>
      <w:pPr>
        <w:ind w:left="1020" w:hanging="360"/>
      </w:pPr>
    </w:lvl>
    <w:lvl w:ilvl="4" w:tplc="D53040BA">
      <w:start w:val="1"/>
      <w:numFmt w:val="decimal"/>
      <w:lvlText w:val="%5)"/>
      <w:lvlJc w:val="left"/>
      <w:pPr>
        <w:ind w:left="1020" w:hanging="360"/>
      </w:pPr>
    </w:lvl>
    <w:lvl w:ilvl="5" w:tplc="6F1CE7A8">
      <w:start w:val="1"/>
      <w:numFmt w:val="decimal"/>
      <w:lvlText w:val="%6)"/>
      <w:lvlJc w:val="left"/>
      <w:pPr>
        <w:ind w:left="1020" w:hanging="360"/>
      </w:pPr>
    </w:lvl>
    <w:lvl w:ilvl="6" w:tplc="CC9AD08E">
      <w:start w:val="1"/>
      <w:numFmt w:val="decimal"/>
      <w:lvlText w:val="%7)"/>
      <w:lvlJc w:val="left"/>
      <w:pPr>
        <w:ind w:left="1020" w:hanging="360"/>
      </w:pPr>
    </w:lvl>
    <w:lvl w:ilvl="7" w:tplc="7B68D324">
      <w:start w:val="1"/>
      <w:numFmt w:val="decimal"/>
      <w:lvlText w:val="%8)"/>
      <w:lvlJc w:val="left"/>
      <w:pPr>
        <w:ind w:left="1020" w:hanging="360"/>
      </w:pPr>
    </w:lvl>
    <w:lvl w:ilvl="8" w:tplc="853E0DDC">
      <w:start w:val="1"/>
      <w:numFmt w:val="decimal"/>
      <w:lvlText w:val="%9)"/>
      <w:lvlJc w:val="left"/>
      <w:pPr>
        <w:ind w:left="1020" w:hanging="36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4"/>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408583334">
    <w:abstractNumId w:val="20"/>
  </w:num>
  <w:num w:numId="19" w16cid:durableId="611936898">
    <w:abstractNumId w:val="20"/>
  </w:num>
  <w:num w:numId="20" w16cid:durableId="360670801">
    <w:abstractNumId w:val="20"/>
  </w:num>
  <w:num w:numId="21" w16cid:durableId="15043225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73284648">
    <w:abstractNumId w:val="12"/>
  </w:num>
  <w:num w:numId="23" w16cid:durableId="207298245">
    <w:abstractNumId w:val="20"/>
  </w:num>
  <w:num w:numId="24" w16cid:durableId="767232018">
    <w:abstractNumId w:val="20"/>
  </w:num>
  <w:num w:numId="25" w16cid:durableId="850683723">
    <w:abstractNumId w:val="20"/>
  </w:num>
  <w:num w:numId="26" w16cid:durableId="928581036">
    <w:abstractNumId w:val="16"/>
  </w:num>
  <w:num w:numId="27" w16cid:durableId="205955250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FB"/>
    <w:rsid w:val="00006C10"/>
    <w:rsid w:val="00006F4F"/>
    <w:rsid w:val="0001041A"/>
    <w:rsid w:val="000145A1"/>
    <w:rsid w:val="00014FE1"/>
    <w:rsid w:val="00016557"/>
    <w:rsid w:val="00023C40"/>
    <w:rsid w:val="0002507D"/>
    <w:rsid w:val="000257BB"/>
    <w:rsid w:val="0003077F"/>
    <w:rsid w:val="00033397"/>
    <w:rsid w:val="00037A44"/>
    <w:rsid w:val="00040095"/>
    <w:rsid w:val="000405E2"/>
    <w:rsid w:val="000418DD"/>
    <w:rsid w:val="00046B45"/>
    <w:rsid w:val="00050B39"/>
    <w:rsid w:val="00065268"/>
    <w:rsid w:val="00065F3A"/>
    <w:rsid w:val="00070A0F"/>
    <w:rsid w:val="00073AC6"/>
    <w:rsid w:val="00073C9C"/>
    <w:rsid w:val="00076412"/>
    <w:rsid w:val="00080512"/>
    <w:rsid w:val="0008168A"/>
    <w:rsid w:val="00090468"/>
    <w:rsid w:val="00094568"/>
    <w:rsid w:val="00094744"/>
    <w:rsid w:val="000A4369"/>
    <w:rsid w:val="000A6C1A"/>
    <w:rsid w:val="000A7AFD"/>
    <w:rsid w:val="000B068C"/>
    <w:rsid w:val="000B297B"/>
    <w:rsid w:val="000B2F9E"/>
    <w:rsid w:val="000B7BCF"/>
    <w:rsid w:val="000C0CC4"/>
    <w:rsid w:val="000C342F"/>
    <w:rsid w:val="000C522B"/>
    <w:rsid w:val="000D2D19"/>
    <w:rsid w:val="000D3DFC"/>
    <w:rsid w:val="000D58AB"/>
    <w:rsid w:val="000D5A7F"/>
    <w:rsid w:val="000E47B9"/>
    <w:rsid w:val="000E51E1"/>
    <w:rsid w:val="000F32AB"/>
    <w:rsid w:val="00102D44"/>
    <w:rsid w:val="00104B6D"/>
    <w:rsid w:val="00104C67"/>
    <w:rsid w:val="0011189F"/>
    <w:rsid w:val="00112F1A"/>
    <w:rsid w:val="00115521"/>
    <w:rsid w:val="00116E34"/>
    <w:rsid w:val="00117259"/>
    <w:rsid w:val="0012610D"/>
    <w:rsid w:val="00132488"/>
    <w:rsid w:val="00133817"/>
    <w:rsid w:val="00133C7F"/>
    <w:rsid w:val="00135271"/>
    <w:rsid w:val="001358E6"/>
    <w:rsid w:val="00145075"/>
    <w:rsid w:val="00155692"/>
    <w:rsid w:val="00163A64"/>
    <w:rsid w:val="001701B5"/>
    <w:rsid w:val="001741A0"/>
    <w:rsid w:val="001756AB"/>
    <w:rsid w:val="00175EA2"/>
    <w:rsid w:val="00175FA0"/>
    <w:rsid w:val="00182659"/>
    <w:rsid w:val="0018542A"/>
    <w:rsid w:val="00186F37"/>
    <w:rsid w:val="00193748"/>
    <w:rsid w:val="00194CD0"/>
    <w:rsid w:val="00195540"/>
    <w:rsid w:val="0019752B"/>
    <w:rsid w:val="001A009E"/>
    <w:rsid w:val="001A709C"/>
    <w:rsid w:val="001B0015"/>
    <w:rsid w:val="001B49C9"/>
    <w:rsid w:val="001C23F4"/>
    <w:rsid w:val="001C375D"/>
    <w:rsid w:val="001C4F79"/>
    <w:rsid w:val="001D1217"/>
    <w:rsid w:val="001D1C11"/>
    <w:rsid w:val="001D2553"/>
    <w:rsid w:val="001D2C58"/>
    <w:rsid w:val="001D670C"/>
    <w:rsid w:val="001E0250"/>
    <w:rsid w:val="001E1E08"/>
    <w:rsid w:val="001E2010"/>
    <w:rsid w:val="001F168B"/>
    <w:rsid w:val="001F47F2"/>
    <w:rsid w:val="001F6F3B"/>
    <w:rsid w:val="001F7831"/>
    <w:rsid w:val="002026D7"/>
    <w:rsid w:val="00204045"/>
    <w:rsid w:val="0020712B"/>
    <w:rsid w:val="00212396"/>
    <w:rsid w:val="002168B3"/>
    <w:rsid w:val="0021716B"/>
    <w:rsid w:val="002172A6"/>
    <w:rsid w:val="00217467"/>
    <w:rsid w:val="0022606D"/>
    <w:rsid w:val="00231728"/>
    <w:rsid w:val="0023777C"/>
    <w:rsid w:val="00240B3E"/>
    <w:rsid w:val="0024215A"/>
    <w:rsid w:val="00244A05"/>
    <w:rsid w:val="00244AB8"/>
    <w:rsid w:val="0024674F"/>
    <w:rsid w:val="002474D3"/>
    <w:rsid w:val="00250404"/>
    <w:rsid w:val="0025229E"/>
    <w:rsid w:val="0025235D"/>
    <w:rsid w:val="002532BC"/>
    <w:rsid w:val="00253B67"/>
    <w:rsid w:val="00256B74"/>
    <w:rsid w:val="00257AF4"/>
    <w:rsid w:val="00257D25"/>
    <w:rsid w:val="002610D8"/>
    <w:rsid w:val="00264012"/>
    <w:rsid w:val="00264920"/>
    <w:rsid w:val="00265E4D"/>
    <w:rsid w:val="002747EC"/>
    <w:rsid w:val="00274A83"/>
    <w:rsid w:val="00281338"/>
    <w:rsid w:val="002855BF"/>
    <w:rsid w:val="00290A7C"/>
    <w:rsid w:val="002911D6"/>
    <w:rsid w:val="002942B6"/>
    <w:rsid w:val="002B1228"/>
    <w:rsid w:val="002B2988"/>
    <w:rsid w:val="002C1114"/>
    <w:rsid w:val="002C3124"/>
    <w:rsid w:val="002C6F46"/>
    <w:rsid w:val="002C7566"/>
    <w:rsid w:val="002D6718"/>
    <w:rsid w:val="002E59B4"/>
    <w:rsid w:val="002F05E5"/>
    <w:rsid w:val="002F0D22"/>
    <w:rsid w:val="002F20E8"/>
    <w:rsid w:val="002F4DB1"/>
    <w:rsid w:val="002F5FB7"/>
    <w:rsid w:val="00311B17"/>
    <w:rsid w:val="0031309A"/>
    <w:rsid w:val="00315FA8"/>
    <w:rsid w:val="003172DC"/>
    <w:rsid w:val="0031769D"/>
    <w:rsid w:val="00321161"/>
    <w:rsid w:val="00325AE3"/>
    <w:rsid w:val="00326069"/>
    <w:rsid w:val="00330D29"/>
    <w:rsid w:val="00336342"/>
    <w:rsid w:val="00336D97"/>
    <w:rsid w:val="00344B30"/>
    <w:rsid w:val="0035462D"/>
    <w:rsid w:val="0036459E"/>
    <w:rsid w:val="00364B41"/>
    <w:rsid w:val="003671D9"/>
    <w:rsid w:val="0037106D"/>
    <w:rsid w:val="00375E71"/>
    <w:rsid w:val="00383096"/>
    <w:rsid w:val="0039346C"/>
    <w:rsid w:val="0039435A"/>
    <w:rsid w:val="003A41EF"/>
    <w:rsid w:val="003A4289"/>
    <w:rsid w:val="003A4ED8"/>
    <w:rsid w:val="003A6EB0"/>
    <w:rsid w:val="003B1C26"/>
    <w:rsid w:val="003B40AD"/>
    <w:rsid w:val="003C0A34"/>
    <w:rsid w:val="003C3D6F"/>
    <w:rsid w:val="003C4E37"/>
    <w:rsid w:val="003C4EF4"/>
    <w:rsid w:val="003D0FD0"/>
    <w:rsid w:val="003D54D9"/>
    <w:rsid w:val="003D5A87"/>
    <w:rsid w:val="003D60D7"/>
    <w:rsid w:val="003D6B42"/>
    <w:rsid w:val="003D7AAB"/>
    <w:rsid w:val="003E16BE"/>
    <w:rsid w:val="003E3CF5"/>
    <w:rsid w:val="003E4DC8"/>
    <w:rsid w:val="003E77DA"/>
    <w:rsid w:val="003F0ECD"/>
    <w:rsid w:val="003F42A0"/>
    <w:rsid w:val="003F4E28"/>
    <w:rsid w:val="003F76B6"/>
    <w:rsid w:val="004006E8"/>
    <w:rsid w:val="004014DE"/>
    <w:rsid w:val="00401855"/>
    <w:rsid w:val="00403327"/>
    <w:rsid w:val="00405B01"/>
    <w:rsid w:val="00405ED4"/>
    <w:rsid w:val="00407F8A"/>
    <w:rsid w:val="00411371"/>
    <w:rsid w:val="00434B77"/>
    <w:rsid w:val="00434D55"/>
    <w:rsid w:val="004420F5"/>
    <w:rsid w:val="00446C3A"/>
    <w:rsid w:val="004534F6"/>
    <w:rsid w:val="00454AE3"/>
    <w:rsid w:val="00462725"/>
    <w:rsid w:val="004630AA"/>
    <w:rsid w:val="00463D06"/>
    <w:rsid w:val="00465587"/>
    <w:rsid w:val="004661BF"/>
    <w:rsid w:val="00477455"/>
    <w:rsid w:val="00483950"/>
    <w:rsid w:val="00492DD8"/>
    <w:rsid w:val="00494742"/>
    <w:rsid w:val="00494AB9"/>
    <w:rsid w:val="004A15BB"/>
    <w:rsid w:val="004A1F7B"/>
    <w:rsid w:val="004B042B"/>
    <w:rsid w:val="004B4644"/>
    <w:rsid w:val="004B565E"/>
    <w:rsid w:val="004B7BB0"/>
    <w:rsid w:val="004C44D2"/>
    <w:rsid w:val="004C55FE"/>
    <w:rsid w:val="004D0761"/>
    <w:rsid w:val="004D3578"/>
    <w:rsid w:val="004D380D"/>
    <w:rsid w:val="004D461A"/>
    <w:rsid w:val="004E213A"/>
    <w:rsid w:val="004E273D"/>
    <w:rsid w:val="004E5E91"/>
    <w:rsid w:val="004E653E"/>
    <w:rsid w:val="004E7553"/>
    <w:rsid w:val="004F20C1"/>
    <w:rsid w:val="004F4540"/>
    <w:rsid w:val="004F4557"/>
    <w:rsid w:val="004F4682"/>
    <w:rsid w:val="004F73A7"/>
    <w:rsid w:val="00502C98"/>
    <w:rsid w:val="00503171"/>
    <w:rsid w:val="0050382A"/>
    <w:rsid w:val="005042B8"/>
    <w:rsid w:val="00505B85"/>
    <w:rsid w:val="00506831"/>
    <w:rsid w:val="00506B66"/>
    <w:rsid w:val="00506C28"/>
    <w:rsid w:val="00506C51"/>
    <w:rsid w:val="00513A57"/>
    <w:rsid w:val="00527550"/>
    <w:rsid w:val="00527E31"/>
    <w:rsid w:val="0053175B"/>
    <w:rsid w:val="00532C1E"/>
    <w:rsid w:val="00534DA0"/>
    <w:rsid w:val="00537809"/>
    <w:rsid w:val="00541A65"/>
    <w:rsid w:val="005432D9"/>
    <w:rsid w:val="00543E6C"/>
    <w:rsid w:val="00544E28"/>
    <w:rsid w:val="005453D7"/>
    <w:rsid w:val="0055443F"/>
    <w:rsid w:val="00556533"/>
    <w:rsid w:val="00565087"/>
    <w:rsid w:val="0056573F"/>
    <w:rsid w:val="0057027D"/>
    <w:rsid w:val="00571279"/>
    <w:rsid w:val="00572D4F"/>
    <w:rsid w:val="00573250"/>
    <w:rsid w:val="00575FC5"/>
    <w:rsid w:val="005809DF"/>
    <w:rsid w:val="0058478D"/>
    <w:rsid w:val="00591047"/>
    <w:rsid w:val="005913D6"/>
    <w:rsid w:val="005A13AB"/>
    <w:rsid w:val="005A49C6"/>
    <w:rsid w:val="005A50FA"/>
    <w:rsid w:val="005A5862"/>
    <w:rsid w:val="005A5E27"/>
    <w:rsid w:val="005A6130"/>
    <w:rsid w:val="005B01D0"/>
    <w:rsid w:val="005B05DD"/>
    <w:rsid w:val="005C0E92"/>
    <w:rsid w:val="005C2A5E"/>
    <w:rsid w:val="005C2EB6"/>
    <w:rsid w:val="005C57F2"/>
    <w:rsid w:val="005C766E"/>
    <w:rsid w:val="005C7CD5"/>
    <w:rsid w:val="005D355D"/>
    <w:rsid w:val="005E2DA5"/>
    <w:rsid w:val="005E4291"/>
    <w:rsid w:val="0060238C"/>
    <w:rsid w:val="006063BC"/>
    <w:rsid w:val="00611566"/>
    <w:rsid w:val="00611F16"/>
    <w:rsid w:val="006163E9"/>
    <w:rsid w:val="00620216"/>
    <w:rsid w:val="00630D7B"/>
    <w:rsid w:val="006350DD"/>
    <w:rsid w:val="0064682E"/>
    <w:rsid w:val="00646D99"/>
    <w:rsid w:val="006559F0"/>
    <w:rsid w:val="00656910"/>
    <w:rsid w:val="006574C0"/>
    <w:rsid w:val="00663641"/>
    <w:rsid w:val="0066374E"/>
    <w:rsid w:val="00667390"/>
    <w:rsid w:val="00670B9D"/>
    <w:rsid w:val="00675263"/>
    <w:rsid w:val="0067595B"/>
    <w:rsid w:val="00681CC4"/>
    <w:rsid w:val="00687839"/>
    <w:rsid w:val="0069078F"/>
    <w:rsid w:val="006940D1"/>
    <w:rsid w:val="00695EF3"/>
    <w:rsid w:val="00696821"/>
    <w:rsid w:val="006A2E94"/>
    <w:rsid w:val="006A423F"/>
    <w:rsid w:val="006B14F0"/>
    <w:rsid w:val="006B3AD6"/>
    <w:rsid w:val="006C0B33"/>
    <w:rsid w:val="006C1112"/>
    <w:rsid w:val="006C66D8"/>
    <w:rsid w:val="006D1E24"/>
    <w:rsid w:val="006D21B9"/>
    <w:rsid w:val="006D35DE"/>
    <w:rsid w:val="006D5413"/>
    <w:rsid w:val="006E1057"/>
    <w:rsid w:val="006E1417"/>
    <w:rsid w:val="006E2EA7"/>
    <w:rsid w:val="006E489C"/>
    <w:rsid w:val="006F3FF6"/>
    <w:rsid w:val="006F459B"/>
    <w:rsid w:val="006F6A2C"/>
    <w:rsid w:val="00700F4C"/>
    <w:rsid w:val="007069DC"/>
    <w:rsid w:val="00710201"/>
    <w:rsid w:val="00711385"/>
    <w:rsid w:val="0071324D"/>
    <w:rsid w:val="0072073A"/>
    <w:rsid w:val="00720A8C"/>
    <w:rsid w:val="00723B23"/>
    <w:rsid w:val="0072456A"/>
    <w:rsid w:val="00727068"/>
    <w:rsid w:val="007273BE"/>
    <w:rsid w:val="00731122"/>
    <w:rsid w:val="007337E9"/>
    <w:rsid w:val="007342B5"/>
    <w:rsid w:val="00734A5B"/>
    <w:rsid w:val="0074404B"/>
    <w:rsid w:val="00744E76"/>
    <w:rsid w:val="00747ED1"/>
    <w:rsid w:val="00750015"/>
    <w:rsid w:val="00753B75"/>
    <w:rsid w:val="00757D40"/>
    <w:rsid w:val="00763305"/>
    <w:rsid w:val="00765D16"/>
    <w:rsid w:val="00766289"/>
    <w:rsid w:val="007662B5"/>
    <w:rsid w:val="00766DC2"/>
    <w:rsid w:val="0077445E"/>
    <w:rsid w:val="00781F0F"/>
    <w:rsid w:val="00786FFB"/>
    <w:rsid w:val="0078727C"/>
    <w:rsid w:val="0079049D"/>
    <w:rsid w:val="00793DC5"/>
    <w:rsid w:val="00796823"/>
    <w:rsid w:val="007974DC"/>
    <w:rsid w:val="007A0D6B"/>
    <w:rsid w:val="007A2E55"/>
    <w:rsid w:val="007B0EEC"/>
    <w:rsid w:val="007B18D8"/>
    <w:rsid w:val="007C095F"/>
    <w:rsid w:val="007C2189"/>
    <w:rsid w:val="007C2DD0"/>
    <w:rsid w:val="007C5C9E"/>
    <w:rsid w:val="007D4A91"/>
    <w:rsid w:val="007D59B1"/>
    <w:rsid w:val="007F2E08"/>
    <w:rsid w:val="007F39F3"/>
    <w:rsid w:val="007F64EC"/>
    <w:rsid w:val="00801A7D"/>
    <w:rsid w:val="008024FA"/>
    <w:rsid w:val="008028A4"/>
    <w:rsid w:val="00810B8D"/>
    <w:rsid w:val="00813245"/>
    <w:rsid w:val="00827712"/>
    <w:rsid w:val="008342F1"/>
    <w:rsid w:val="00840DE0"/>
    <w:rsid w:val="00841199"/>
    <w:rsid w:val="008468AD"/>
    <w:rsid w:val="00847CD0"/>
    <w:rsid w:val="00847FE8"/>
    <w:rsid w:val="008607A8"/>
    <w:rsid w:val="00862EAD"/>
    <w:rsid w:val="0086354A"/>
    <w:rsid w:val="00863D69"/>
    <w:rsid w:val="008640EC"/>
    <w:rsid w:val="00866139"/>
    <w:rsid w:val="00872099"/>
    <w:rsid w:val="008734C9"/>
    <w:rsid w:val="00875351"/>
    <w:rsid w:val="008767C5"/>
    <w:rsid w:val="008768CA"/>
    <w:rsid w:val="00877EF9"/>
    <w:rsid w:val="00880559"/>
    <w:rsid w:val="00892FFC"/>
    <w:rsid w:val="008945FE"/>
    <w:rsid w:val="00896D90"/>
    <w:rsid w:val="008A0BD7"/>
    <w:rsid w:val="008A42EE"/>
    <w:rsid w:val="008A57FE"/>
    <w:rsid w:val="008B5306"/>
    <w:rsid w:val="008B549E"/>
    <w:rsid w:val="008B54E8"/>
    <w:rsid w:val="008B69A6"/>
    <w:rsid w:val="008C13C3"/>
    <w:rsid w:val="008C2BB5"/>
    <w:rsid w:val="008C2E2A"/>
    <w:rsid w:val="008C3057"/>
    <w:rsid w:val="008C7DAF"/>
    <w:rsid w:val="008D0C8C"/>
    <w:rsid w:val="008D0FD1"/>
    <w:rsid w:val="008D2E4D"/>
    <w:rsid w:val="008D4F7B"/>
    <w:rsid w:val="008D5B35"/>
    <w:rsid w:val="008D5ED5"/>
    <w:rsid w:val="008D7D82"/>
    <w:rsid w:val="008E5018"/>
    <w:rsid w:val="008E61EE"/>
    <w:rsid w:val="008F1255"/>
    <w:rsid w:val="008F396F"/>
    <w:rsid w:val="008F3DCD"/>
    <w:rsid w:val="008F736F"/>
    <w:rsid w:val="00901536"/>
    <w:rsid w:val="0090271F"/>
    <w:rsid w:val="00902DB9"/>
    <w:rsid w:val="0090466A"/>
    <w:rsid w:val="00905E5A"/>
    <w:rsid w:val="00907541"/>
    <w:rsid w:val="00907868"/>
    <w:rsid w:val="00920CE4"/>
    <w:rsid w:val="00923655"/>
    <w:rsid w:val="00924884"/>
    <w:rsid w:val="009248C6"/>
    <w:rsid w:val="00924DC6"/>
    <w:rsid w:val="009339CB"/>
    <w:rsid w:val="0093409C"/>
    <w:rsid w:val="00936071"/>
    <w:rsid w:val="009376CD"/>
    <w:rsid w:val="00940212"/>
    <w:rsid w:val="00942EC2"/>
    <w:rsid w:val="0095146F"/>
    <w:rsid w:val="00951953"/>
    <w:rsid w:val="00952B41"/>
    <w:rsid w:val="00953976"/>
    <w:rsid w:val="0095531E"/>
    <w:rsid w:val="00961B32"/>
    <w:rsid w:val="00962509"/>
    <w:rsid w:val="00970AE9"/>
    <w:rsid w:val="00970DB3"/>
    <w:rsid w:val="00972E4D"/>
    <w:rsid w:val="00972E97"/>
    <w:rsid w:val="00974BB0"/>
    <w:rsid w:val="00975BCD"/>
    <w:rsid w:val="00976E9A"/>
    <w:rsid w:val="009803A4"/>
    <w:rsid w:val="009818A2"/>
    <w:rsid w:val="009831C0"/>
    <w:rsid w:val="0098522D"/>
    <w:rsid w:val="0098529A"/>
    <w:rsid w:val="009861A5"/>
    <w:rsid w:val="00992083"/>
    <w:rsid w:val="009928A9"/>
    <w:rsid w:val="0099758D"/>
    <w:rsid w:val="009A0AF3"/>
    <w:rsid w:val="009A5A8C"/>
    <w:rsid w:val="009B07CD"/>
    <w:rsid w:val="009B2C9B"/>
    <w:rsid w:val="009C00BD"/>
    <w:rsid w:val="009C19E9"/>
    <w:rsid w:val="009C7FB4"/>
    <w:rsid w:val="009D126F"/>
    <w:rsid w:val="009D4729"/>
    <w:rsid w:val="009D74A6"/>
    <w:rsid w:val="009E0E87"/>
    <w:rsid w:val="009E19F1"/>
    <w:rsid w:val="009E1C32"/>
    <w:rsid w:val="009E4A48"/>
    <w:rsid w:val="009E4A56"/>
    <w:rsid w:val="009E4ADF"/>
    <w:rsid w:val="009E4C1D"/>
    <w:rsid w:val="009F0CF6"/>
    <w:rsid w:val="009F6013"/>
    <w:rsid w:val="009F79D6"/>
    <w:rsid w:val="00A00871"/>
    <w:rsid w:val="00A0146C"/>
    <w:rsid w:val="00A03354"/>
    <w:rsid w:val="00A03A30"/>
    <w:rsid w:val="00A056BC"/>
    <w:rsid w:val="00A057CF"/>
    <w:rsid w:val="00A10566"/>
    <w:rsid w:val="00A10F02"/>
    <w:rsid w:val="00A1666B"/>
    <w:rsid w:val="00A17176"/>
    <w:rsid w:val="00A1757A"/>
    <w:rsid w:val="00A204CA"/>
    <w:rsid w:val="00A209D6"/>
    <w:rsid w:val="00A22738"/>
    <w:rsid w:val="00A267F4"/>
    <w:rsid w:val="00A320DA"/>
    <w:rsid w:val="00A35D45"/>
    <w:rsid w:val="00A36F5F"/>
    <w:rsid w:val="00A4146F"/>
    <w:rsid w:val="00A427A8"/>
    <w:rsid w:val="00A430EC"/>
    <w:rsid w:val="00A44FB3"/>
    <w:rsid w:val="00A53724"/>
    <w:rsid w:val="00A54B2B"/>
    <w:rsid w:val="00A55FE6"/>
    <w:rsid w:val="00A57EDE"/>
    <w:rsid w:val="00A61295"/>
    <w:rsid w:val="00A61813"/>
    <w:rsid w:val="00A703B6"/>
    <w:rsid w:val="00A81AA8"/>
    <w:rsid w:val="00A82346"/>
    <w:rsid w:val="00A8542F"/>
    <w:rsid w:val="00A8760B"/>
    <w:rsid w:val="00A909EF"/>
    <w:rsid w:val="00A92BEE"/>
    <w:rsid w:val="00A9671C"/>
    <w:rsid w:val="00AA0251"/>
    <w:rsid w:val="00AA1553"/>
    <w:rsid w:val="00AA6196"/>
    <w:rsid w:val="00AA690D"/>
    <w:rsid w:val="00AC0C32"/>
    <w:rsid w:val="00AC17C1"/>
    <w:rsid w:val="00AC262E"/>
    <w:rsid w:val="00AC40E0"/>
    <w:rsid w:val="00AC503C"/>
    <w:rsid w:val="00AC51CF"/>
    <w:rsid w:val="00AD0654"/>
    <w:rsid w:val="00AD7E7C"/>
    <w:rsid w:val="00AE7AC9"/>
    <w:rsid w:val="00AF0123"/>
    <w:rsid w:val="00B00579"/>
    <w:rsid w:val="00B05380"/>
    <w:rsid w:val="00B05962"/>
    <w:rsid w:val="00B15449"/>
    <w:rsid w:val="00B16C2F"/>
    <w:rsid w:val="00B179B8"/>
    <w:rsid w:val="00B27303"/>
    <w:rsid w:val="00B301D0"/>
    <w:rsid w:val="00B30FEE"/>
    <w:rsid w:val="00B341C6"/>
    <w:rsid w:val="00B36E1A"/>
    <w:rsid w:val="00B40143"/>
    <w:rsid w:val="00B40FE2"/>
    <w:rsid w:val="00B4393F"/>
    <w:rsid w:val="00B47FD1"/>
    <w:rsid w:val="00B516BB"/>
    <w:rsid w:val="00B5751D"/>
    <w:rsid w:val="00B632DF"/>
    <w:rsid w:val="00B63652"/>
    <w:rsid w:val="00B669E9"/>
    <w:rsid w:val="00B74D09"/>
    <w:rsid w:val="00B74E6F"/>
    <w:rsid w:val="00B7538C"/>
    <w:rsid w:val="00B81556"/>
    <w:rsid w:val="00B81A83"/>
    <w:rsid w:val="00B84DB2"/>
    <w:rsid w:val="00B874A5"/>
    <w:rsid w:val="00B93669"/>
    <w:rsid w:val="00BA1D33"/>
    <w:rsid w:val="00BA2112"/>
    <w:rsid w:val="00BB4270"/>
    <w:rsid w:val="00BB54CE"/>
    <w:rsid w:val="00BC159F"/>
    <w:rsid w:val="00BC3555"/>
    <w:rsid w:val="00BD1C72"/>
    <w:rsid w:val="00BD33D9"/>
    <w:rsid w:val="00BE44F7"/>
    <w:rsid w:val="00BE7435"/>
    <w:rsid w:val="00BF38BC"/>
    <w:rsid w:val="00BF3D58"/>
    <w:rsid w:val="00BF4FF1"/>
    <w:rsid w:val="00BF7E2F"/>
    <w:rsid w:val="00C02ABB"/>
    <w:rsid w:val="00C07241"/>
    <w:rsid w:val="00C07AAB"/>
    <w:rsid w:val="00C126ED"/>
    <w:rsid w:val="00C1271B"/>
    <w:rsid w:val="00C12B51"/>
    <w:rsid w:val="00C145FB"/>
    <w:rsid w:val="00C14C88"/>
    <w:rsid w:val="00C16E7B"/>
    <w:rsid w:val="00C174EC"/>
    <w:rsid w:val="00C17621"/>
    <w:rsid w:val="00C228CB"/>
    <w:rsid w:val="00C24650"/>
    <w:rsid w:val="00C25465"/>
    <w:rsid w:val="00C31806"/>
    <w:rsid w:val="00C33079"/>
    <w:rsid w:val="00C351E4"/>
    <w:rsid w:val="00C35F7E"/>
    <w:rsid w:val="00C54080"/>
    <w:rsid w:val="00C55A12"/>
    <w:rsid w:val="00C56DCC"/>
    <w:rsid w:val="00C60956"/>
    <w:rsid w:val="00C6553E"/>
    <w:rsid w:val="00C67590"/>
    <w:rsid w:val="00C67781"/>
    <w:rsid w:val="00C756D0"/>
    <w:rsid w:val="00C81FF6"/>
    <w:rsid w:val="00C83850"/>
    <w:rsid w:val="00C83A13"/>
    <w:rsid w:val="00C86F10"/>
    <w:rsid w:val="00C9068C"/>
    <w:rsid w:val="00C91360"/>
    <w:rsid w:val="00C92967"/>
    <w:rsid w:val="00C92AE9"/>
    <w:rsid w:val="00C95A50"/>
    <w:rsid w:val="00C96A10"/>
    <w:rsid w:val="00CA3D0C"/>
    <w:rsid w:val="00CA654B"/>
    <w:rsid w:val="00CB183F"/>
    <w:rsid w:val="00CB1E96"/>
    <w:rsid w:val="00CB51AA"/>
    <w:rsid w:val="00CB72B8"/>
    <w:rsid w:val="00CC14C5"/>
    <w:rsid w:val="00CD0BA8"/>
    <w:rsid w:val="00CD20B2"/>
    <w:rsid w:val="00CD3917"/>
    <w:rsid w:val="00CD4C7B"/>
    <w:rsid w:val="00CD58FE"/>
    <w:rsid w:val="00CD5D99"/>
    <w:rsid w:val="00CE1D7F"/>
    <w:rsid w:val="00CE2760"/>
    <w:rsid w:val="00CE50D6"/>
    <w:rsid w:val="00CF1F5E"/>
    <w:rsid w:val="00CF331A"/>
    <w:rsid w:val="00D01FF5"/>
    <w:rsid w:val="00D02394"/>
    <w:rsid w:val="00D17E1E"/>
    <w:rsid w:val="00D22433"/>
    <w:rsid w:val="00D227C6"/>
    <w:rsid w:val="00D27492"/>
    <w:rsid w:val="00D274CC"/>
    <w:rsid w:val="00D31BF0"/>
    <w:rsid w:val="00D33BE3"/>
    <w:rsid w:val="00D36268"/>
    <w:rsid w:val="00D3792D"/>
    <w:rsid w:val="00D4141C"/>
    <w:rsid w:val="00D46438"/>
    <w:rsid w:val="00D46E4B"/>
    <w:rsid w:val="00D531C2"/>
    <w:rsid w:val="00D53CA2"/>
    <w:rsid w:val="00D54820"/>
    <w:rsid w:val="00D55E47"/>
    <w:rsid w:val="00D62E19"/>
    <w:rsid w:val="00D6302A"/>
    <w:rsid w:val="00D64832"/>
    <w:rsid w:val="00D6524B"/>
    <w:rsid w:val="00D67CD1"/>
    <w:rsid w:val="00D729C3"/>
    <w:rsid w:val="00D72B3F"/>
    <w:rsid w:val="00D73644"/>
    <w:rsid w:val="00D738D6"/>
    <w:rsid w:val="00D757A3"/>
    <w:rsid w:val="00D80658"/>
    <w:rsid w:val="00D80683"/>
    <w:rsid w:val="00D80795"/>
    <w:rsid w:val="00D836E0"/>
    <w:rsid w:val="00D854BE"/>
    <w:rsid w:val="00D87E00"/>
    <w:rsid w:val="00D9134D"/>
    <w:rsid w:val="00D934A9"/>
    <w:rsid w:val="00D96D11"/>
    <w:rsid w:val="00DA1415"/>
    <w:rsid w:val="00DA345B"/>
    <w:rsid w:val="00DA7418"/>
    <w:rsid w:val="00DA7A03"/>
    <w:rsid w:val="00DB0DB8"/>
    <w:rsid w:val="00DB1818"/>
    <w:rsid w:val="00DB695F"/>
    <w:rsid w:val="00DC1960"/>
    <w:rsid w:val="00DC3031"/>
    <w:rsid w:val="00DC309B"/>
    <w:rsid w:val="00DC4DA2"/>
    <w:rsid w:val="00DC5261"/>
    <w:rsid w:val="00DE0329"/>
    <w:rsid w:val="00DE23E2"/>
    <w:rsid w:val="00DE25D2"/>
    <w:rsid w:val="00DF3533"/>
    <w:rsid w:val="00DF66E7"/>
    <w:rsid w:val="00DF6FAF"/>
    <w:rsid w:val="00DF7C20"/>
    <w:rsid w:val="00E003B0"/>
    <w:rsid w:val="00E01111"/>
    <w:rsid w:val="00E038FB"/>
    <w:rsid w:val="00E04A3F"/>
    <w:rsid w:val="00E04BFA"/>
    <w:rsid w:val="00E0594B"/>
    <w:rsid w:val="00E06218"/>
    <w:rsid w:val="00E070DD"/>
    <w:rsid w:val="00E13A6A"/>
    <w:rsid w:val="00E1644D"/>
    <w:rsid w:val="00E1668E"/>
    <w:rsid w:val="00E168F2"/>
    <w:rsid w:val="00E17221"/>
    <w:rsid w:val="00E24A37"/>
    <w:rsid w:val="00E25C4C"/>
    <w:rsid w:val="00E274EA"/>
    <w:rsid w:val="00E46C08"/>
    <w:rsid w:val="00E471CF"/>
    <w:rsid w:val="00E516D6"/>
    <w:rsid w:val="00E572AA"/>
    <w:rsid w:val="00E60424"/>
    <w:rsid w:val="00E61AA2"/>
    <w:rsid w:val="00E62835"/>
    <w:rsid w:val="00E6480E"/>
    <w:rsid w:val="00E67721"/>
    <w:rsid w:val="00E762B2"/>
    <w:rsid w:val="00E76E77"/>
    <w:rsid w:val="00E77645"/>
    <w:rsid w:val="00E83697"/>
    <w:rsid w:val="00E859B6"/>
    <w:rsid w:val="00E85E94"/>
    <w:rsid w:val="00E86828"/>
    <w:rsid w:val="00E86C87"/>
    <w:rsid w:val="00E918C6"/>
    <w:rsid w:val="00E94077"/>
    <w:rsid w:val="00EA0BAF"/>
    <w:rsid w:val="00EA2734"/>
    <w:rsid w:val="00EA40E1"/>
    <w:rsid w:val="00EA66C9"/>
    <w:rsid w:val="00EA7B94"/>
    <w:rsid w:val="00EB38DC"/>
    <w:rsid w:val="00EB5D32"/>
    <w:rsid w:val="00EC024A"/>
    <w:rsid w:val="00EC099D"/>
    <w:rsid w:val="00EC4A25"/>
    <w:rsid w:val="00EC54C8"/>
    <w:rsid w:val="00EC7185"/>
    <w:rsid w:val="00ED18AB"/>
    <w:rsid w:val="00EE6F91"/>
    <w:rsid w:val="00EF612C"/>
    <w:rsid w:val="00EF7BBC"/>
    <w:rsid w:val="00F025A2"/>
    <w:rsid w:val="00F036E9"/>
    <w:rsid w:val="00F06F32"/>
    <w:rsid w:val="00F07388"/>
    <w:rsid w:val="00F2026E"/>
    <w:rsid w:val="00F2210A"/>
    <w:rsid w:val="00F23768"/>
    <w:rsid w:val="00F26B20"/>
    <w:rsid w:val="00F31372"/>
    <w:rsid w:val="00F36DD3"/>
    <w:rsid w:val="00F37743"/>
    <w:rsid w:val="00F40C2F"/>
    <w:rsid w:val="00F42493"/>
    <w:rsid w:val="00F501F4"/>
    <w:rsid w:val="00F52781"/>
    <w:rsid w:val="00F53D8E"/>
    <w:rsid w:val="00F54A3D"/>
    <w:rsid w:val="00F54CB0"/>
    <w:rsid w:val="00F55F04"/>
    <w:rsid w:val="00F579CD"/>
    <w:rsid w:val="00F60CCF"/>
    <w:rsid w:val="00F613CF"/>
    <w:rsid w:val="00F653B8"/>
    <w:rsid w:val="00F71B89"/>
    <w:rsid w:val="00F71F51"/>
    <w:rsid w:val="00F7353C"/>
    <w:rsid w:val="00F76F8F"/>
    <w:rsid w:val="00F864D0"/>
    <w:rsid w:val="00F87048"/>
    <w:rsid w:val="00F87257"/>
    <w:rsid w:val="00F923CC"/>
    <w:rsid w:val="00F941DF"/>
    <w:rsid w:val="00FA01C6"/>
    <w:rsid w:val="00FA1266"/>
    <w:rsid w:val="00FA3436"/>
    <w:rsid w:val="00FB0C0B"/>
    <w:rsid w:val="00FB36FA"/>
    <w:rsid w:val="00FB6963"/>
    <w:rsid w:val="00FC1192"/>
    <w:rsid w:val="00FD653F"/>
    <w:rsid w:val="00FE01F4"/>
    <w:rsid w:val="00FE05E8"/>
    <w:rsid w:val="00FE0A78"/>
    <w:rsid w:val="00FE106D"/>
    <w:rsid w:val="00FE251B"/>
    <w:rsid w:val="00FE776E"/>
    <w:rsid w:val="00FF4947"/>
    <w:rsid w:val="00FF7C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D8B3BC4F-D6DB-4F8B-A548-545D4BCCC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4534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4534F6"/>
    <w:pPr>
      <w:numPr>
        <w:numId w:val="18"/>
      </w:numPr>
      <w:spacing w:before="60" w:after="0"/>
    </w:pPr>
    <w:rPr>
      <w:rFonts w:ascii="Arial" w:eastAsia="MS Mincho" w:hAnsi="Arial"/>
      <w:b/>
      <w:szCs w:val="24"/>
      <w:lang w:eastAsia="en-GB"/>
    </w:rPr>
  </w:style>
  <w:style w:type="character" w:styleId="PlaceholderText">
    <w:name w:val="Placeholder Text"/>
    <w:basedOn w:val="DefaultParagraphFont"/>
    <w:uiPriority w:val="99"/>
    <w:semiHidden/>
    <w:rsid w:val="000D2D19"/>
    <w:rPr>
      <w:color w:val="666666"/>
    </w:rPr>
  </w:style>
  <w:style w:type="paragraph" w:styleId="Revision">
    <w:name w:val="Revision"/>
    <w:hidden/>
    <w:uiPriority w:val="99"/>
    <w:semiHidden/>
    <w:rsid w:val="00750015"/>
    <w:rPr>
      <w:lang w:eastAsia="en-US"/>
    </w:rPr>
  </w:style>
  <w:style w:type="character" w:customStyle="1" w:styleId="B1Char">
    <w:name w:val="B1 Char"/>
    <w:link w:val="B1"/>
    <w:qFormat/>
    <w:rsid w:val="00EF7BBC"/>
    <w:rPr>
      <w:lang w:eastAsia="en-US"/>
    </w:rPr>
  </w:style>
  <w:style w:type="character" w:customStyle="1" w:styleId="B2Char">
    <w:name w:val="B2 Char"/>
    <w:link w:val="B2"/>
    <w:qFormat/>
    <w:rsid w:val="00EF7B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16774">
      <w:bodyDiv w:val="1"/>
      <w:marLeft w:val="0"/>
      <w:marRight w:val="0"/>
      <w:marTop w:val="0"/>
      <w:marBottom w:val="0"/>
      <w:divBdr>
        <w:top w:val="none" w:sz="0" w:space="0" w:color="auto"/>
        <w:left w:val="none" w:sz="0" w:space="0" w:color="auto"/>
        <w:bottom w:val="none" w:sz="0" w:space="0" w:color="auto"/>
        <w:right w:val="none" w:sz="0" w:space="0" w:color="auto"/>
      </w:divBdr>
      <w:divsChild>
        <w:div w:id="1416167994">
          <w:marLeft w:val="0"/>
          <w:marRight w:val="0"/>
          <w:marTop w:val="0"/>
          <w:marBottom w:val="0"/>
          <w:divBdr>
            <w:top w:val="none" w:sz="0" w:space="0" w:color="auto"/>
            <w:left w:val="none" w:sz="0" w:space="0" w:color="auto"/>
            <w:bottom w:val="none" w:sz="0" w:space="0" w:color="auto"/>
            <w:right w:val="none" w:sz="0" w:space="0" w:color="auto"/>
          </w:divBdr>
        </w:div>
        <w:div w:id="1748764735">
          <w:marLeft w:val="0"/>
          <w:marRight w:val="0"/>
          <w:marTop w:val="0"/>
          <w:marBottom w:val="0"/>
          <w:divBdr>
            <w:top w:val="none" w:sz="0" w:space="0" w:color="auto"/>
            <w:left w:val="none" w:sz="0" w:space="0" w:color="auto"/>
            <w:bottom w:val="none" w:sz="0" w:space="0" w:color="auto"/>
            <w:right w:val="none" w:sz="0" w:space="0" w:color="auto"/>
          </w:divBdr>
        </w:div>
      </w:divsChild>
    </w:div>
    <w:div w:id="508983369">
      <w:bodyDiv w:val="1"/>
      <w:marLeft w:val="0"/>
      <w:marRight w:val="0"/>
      <w:marTop w:val="0"/>
      <w:marBottom w:val="0"/>
      <w:divBdr>
        <w:top w:val="none" w:sz="0" w:space="0" w:color="auto"/>
        <w:left w:val="none" w:sz="0" w:space="0" w:color="auto"/>
        <w:bottom w:val="none" w:sz="0" w:space="0" w:color="auto"/>
        <w:right w:val="none" w:sz="0" w:space="0" w:color="auto"/>
      </w:divBdr>
    </w:div>
    <w:div w:id="615212732">
      <w:bodyDiv w:val="1"/>
      <w:marLeft w:val="0"/>
      <w:marRight w:val="0"/>
      <w:marTop w:val="0"/>
      <w:marBottom w:val="0"/>
      <w:divBdr>
        <w:top w:val="none" w:sz="0" w:space="0" w:color="auto"/>
        <w:left w:val="none" w:sz="0" w:space="0" w:color="auto"/>
        <w:bottom w:val="none" w:sz="0" w:space="0" w:color="auto"/>
        <w:right w:val="none" w:sz="0" w:space="0" w:color="auto"/>
      </w:divBdr>
    </w:div>
    <w:div w:id="777867837">
      <w:bodyDiv w:val="1"/>
      <w:marLeft w:val="0"/>
      <w:marRight w:val="0"/>
      <w:marTop w:val="0"/>
      <w:marBottom w:val="0"/>
      <w:divBdr>
        <w:top w:val="none" w:sz="0" w:space="0" w:color="auto"/>
        <w:left w:val="none" w:sz="0" w:space="0" w:color="auto"/>
        <w:bottom w:val="none" w:sz="0" w:space="0" w:color="auto"/>
        <w:right w:val="none" w:sz="0" w:space="0" w:color="auto"/>
      </w:divBdr>
      <w:divsChild>
        <w:div w:id="99833887">
          <w:marLeft w:val="0"/>
          <w:marRight w:val="0"/>
          <w:marTop w:val="0"/>
          <w:marBottom w:val="0"/>
          <w:divBdr>
            <w:top w:val="none" w:sz="0" w:space="0" w:color="auto"/>
            <w:left w:val="none" w:sz="0" w:space="0" w:color="auto"/>
            <w:bottom w:val="none" w:sz="0" w:space="0" w:color="auto"/>
            <w:right w:val="none" w:sz="0" w:space="0" w:color="auto"/>
          </w:divBdr>
        </w:div>
        <w:div w:id="669989847">
          <w:marLeft w:val="0"/>
          <w:marRight w:val="0"/>
          <w:marTop w:val="0"/>
          <w:marBottom w:val="0"/>
          <w:divBdr>
            <w:top w:val="none" w:sz="0" w:space="0" w:color="auto"/>
            <w:left w:val="none" w:sz="0" w:space="0" w:color="auto"/>
            <w:bottom w:val="none" w:sz="0" w:space="0" w:color="auto"/>
            <w:right w:val="none" w:sz="0" w:space="0" w:color="auto"/>
          </w:divBdr>
        </w:div>
        <w:div w:id="1162159319">
          <w:marLeft w:val="0"/>
          <w:marRight w:val="0"/>
          <w:marTop w:val="0"/>
          <w:marBottom w:val="0"/>
          <w:divBdr>
            <w:top w:val="none" w:sz="0" w:space="0" w:color="auto"/>
            <w:left w:val="none" w:sz="0" w:space="0" w:color="auto"/>
            <w:bottom w:val="none" w:sz="0" w:space="0" w:color="auto"/>
            <w:right w:val="none" w:sz="0" w:space="0" w:color="auto"/>
          </w:divBdr>
        </w:div>
        <w:div w:id="1474788233">
          <w:marLeft w:val="0"/>
          <w:marRight w:val="0"/>
          <w:marTop w:val="0"/>
          <w:marBottom w:val="0"/>
          <w:divBdr>
            <w:top w:val="none" w:sz="0" w:space="0" w:color="auto"/>
            <w:left w:val="none" w:sz="0" w:space="0" w:color="auto"/>
            <w:bottom w:val="none" w:sz="0" w:space="0" w:color="auto"/>
            <w:right w:val="none" w:sz="0" w:space="0" w:color="auto"/>
          </w:divBdr>
        </w:div>
        <w:div w:id="1835611110">
          <w:marLeft w:val="0"/>
          <w:marRight w:val="0"/>
          <w:marTop w:val="0"/>
          <w:marBottom w:val="0"/>
          <w:divBdr>
            <w:top w:val="none" w:sz="0" w:space="0" w:color="auto"/>
            <w:left w:val="none" w:sz="0" w:space="0" w:color="auto"/>
            <w:bottom w:val="none" w:sz="0" w:space="0" w:color="auto"/>
            <w:right w:val="none" w:sz="0" w:space="0" w:color="auto"/>
          </w:divBdr>
        </w:div>
      </w:divsChild>
    </w:div>
    <w:div w:id="810682138">
      <w:bodyDiv w:val="1"/>
      <w:marLeft w:val="0"/>
      <w:marRight w:val="0"/>
      <w:marTop w:val="0"/>
      <w:marBottom w:val="0"/>
      <w:divBdr>
        <w:top w:val="none" w:sz="0" w:space="0" w:color="auto"/>
        <w:left w:val="none" w:sz="0" w:space="0" w:color="auto"/>
        <w:bottom w:val="none" w:sz="0" w:space="0" w:color="auto"/>
        <w:right w:val="none" w:sz="0" w:space="0" w:color="auto"/>
      </w:divBdr>
      <w:divsChild>
        <w:div w:id="1242642851">
          <w:marLeft w:val="0"/>
          <w:marRight w:val="0"/>
          <w:marTop w:val="0"/>
          <w:marBottom w:val="0"/>
          <w:divBdr>
            <w:top w:val="none" w:sz="0" w:space="0" w:color="auto"/>
            <w:left w:val="none" w:sz="0" w:space="0" w:color="auto"/>
            <w:bottom w:val="none" w:sz="0" w:space="0" w:color="auto"/>
            <w:right w:val="none" w:sz="0" w:space="0" w:color="auto"/>
          </w:divBdr>
        </w:div>
        <w:div w:id="1897276357">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9628774">
      <w:bodyDiv w:val="1"/>
      <w:marLeft w:val="0"/>
      <w:marRight w:val="0"/>
      <w:marTop w:val="0"/>
      <w:marBottom w:val="0"/>
      <w:divBdr>
        <w:top w:val="none" w:sz="0" w:space="0" w:color="auto"/>
        <w:left w:val="none" w:sz="0" w:space="0" w:color="auto"/>
        <w:bottom w:val="none" w:sz="0" w:space="0" w:color="auto"/>
        <w:right w:val="none" w:sz="0" w:space="0" w:color="auto"/>
      </w:divBdr>
      <w:divsChild>
        <w:div w:id="149060030">
          <w:marLeft w:val="0"/>
          <w:marRight w:val="0"/>
          <w:marTop w:val="0"/>
          <w:marBottom w:val="0"/>
          <w:divBdr>
            <w:top w:val="none" w:sz="0" w:space="0" w:color="auto"/>
            <w:left w:val="none" w:sz="0" w:space="0" w:color="auto"/>
            <w:bottom w:val="none" w:sz="0" w:space="0" w:color="auto"/>
            <w:right w:val="none" w:sz="0" w:space="0" w:color="auto"/>
          </w:divBdr>
        </w:div>
        <w:div w:id="429813705">
          <w:marLeft w:val="0"/>
          <w:marRight w:val="0"/>
          <w:marTop w:val="0"/>
          <w:marBottom w:val="0"/>
          <w:divBdr>
            <w:top w:val="none" w:sz="0" w:space="0" w:color="auto"/>
            <w:left w:val="none" w:sz="0" w:space="0" w:color="auto"/>
            <w:bottom w:val="none" w:sz="0" w:space="0" w:color="auto"/>
            <w:right w:val="none" w:sz="0" w:space="0" w:color="auto"/>
          </w:divBdr>
        </w:div>
        <w:div w:id="587881801">
          <w:marLeft w:val="0"/>
          <w:marRight w:val="0"/>
          <w:marTop w:val="0"/>
          <w:marBottom w:val="0"/>
          <w:divBdr>
            <w:top w:val="none" w:sz="0" w:space="0" w:color="auto"/>
            <w:left w:val="none" w:sz="0" w:space="0" w:color="auto"/>
            <w:bottom w:val="none" w:sz="0" w:space="0" w:color="auto"/>
            <w:right w:val="none" w:sz="0" w:space="0" w:color="auto"/>
          </w:divBdr>
        </w:div>
        <w:div w:id="1375886659">
          <w:marLeft w:val="0"/>
          <w:marRight w:val="0"/>
          <w:marTop w:val="0"/>
          <w:marBottom w:val="0"/>
          <w:divBdr>
            <w:top w:val="none" w:sz="0" w:space="0" w:color="auto"/>
            <w:left w:val="none" w:sz="0" w:space="0" w:color="auto"/>
            <w:bottom w:val="none" w:sz="0" w:space="0" w:color="auto"/>
            <w:right w:val="none" w:sz="0" w:space="0" w:color="auto"/>
          </w:divBdr>
        </w:div>
        <w:div w:id="1800761911">
          <w:marLeft w:val="0"/>
          <w:marRight w:val="0"/>
          <w:marTop w:val="0"/>
          <w:marBottom w:val="0"/>
          <w:divBdr>
            <w:top w:val="none" w:sz="0" w:space="0" w:color="auto"/>
            <w:left w:val="none" w:sz="0" w:space="0" w:color="auto"/>
            <w:bottom w:val="none" w:sz="0" w:space="0" w:color="auto"/>
            <w:right w:val="none" w:sz="0" w:space="0" w:color="auto"/>
          </w:divBdr>
        </w:div>
      </w:divsChild>
    </w:div>
    <w:div w:id="1694040546">
      <w:bodyDiv w:val="1"/>
      <w:marLeft w:val="0"/>
      <w:marRight w:val="0"/>
      <w:marTop w:val="0"/>
      <w:marBottom w:val="0"/>
      <w:divBdr>
        <w:top w:val="none" w:sz="0" w:space="0" w:color="auto"/>
        <w:left w:val="none" w:sz="0" w:space="0" w:color="auto"/>
        <w:bottom w:val="none" w:sz="0" w:space="0" w:color="auto"/>
        <w:right w:val="none" w:sz="0" w:space="0" w:color="auto"/>
      </w:divBdr>
      <w:divsChild>
        <w:div w:id="719742495">
          <w:marLeft w:val="0"/>
          <w:marRight w:val="0"/>
          <w:marTop w:val="0"/>
          <w:marBottom w:val="0"/>
          <w:divBdr>
            <w:top w:val="none" w:sz="0" w:space="0" w:color="auto"/>
            <w:left w:val="none" w:sz="0" w:space="0" w:color="auto"/>
            <w:bottom w:val="none" w:sz="0" w:space="0" w:color="auto"/>
            <w:right w:val="none" w:sz="0" w:space="0" w:color="auto"/>
          </w:divBdr>
        </w:div>
        <w:div w:id="1174682165">
          <w:marLeft w:val="0"/>
          <w:marRight w:val="0"/>
          <w:marTop w:val="0"/>
          <w:marBottom w:val="0"/>
          <w:divBdr>
            <w:top w:val="none" w:sz="0" w:space="0" w:color="auto"/>
            <w:left w:val="none" w:sz="0" w:space="0" w:color="auto"/>
            <w:bottom w:val="none" w:sz="0" w:space="0" w:color="auto"/>
            <w:right w:val="none" w:sz="0" w:space="0" w:color="auto"/>
          </w:divBdr>
        </w:div>
      </w:divsChild>
    </w:div>
    <w:div w:id="2088840048">
      <w:bodyDiv w:val="1"/>
      <w:marLeft w:val="0"/>
      <w:marRight w:val="0"/>
      <w:marTop w:val="0"/>
      <w:marBottom w:val="0"/>
      <w:divBdr>
        <w:top w:val="none" w:sz="0" w:space="0" w:color="auto"/>
        <w:left w:val="none" w:sz="0" w:space="0" w:color="auto"/>
        <w:bottom w:val="none" w:sz="0" w:space="0" w:color="auto"/>
        <w:right w:val="none" w:sz="0" w:space="0" w:color="auto"/>
      </w:divBdr>
      <w:divsChild>
        <w:div w:id="1870725974">
          <w:marLeft w:val="0"/>
          <w:marRight w:val="0"/>
          <w:marTop w:val="0"/>
          <w:marBottom w:val="0"/>
          <w:divBdr>
            <w:top w:val="none" w:sz="0" w:space="0" w:color="auto"/>
            <w:left w:val="none" w:sz="0" w:space="0" w:color="auto"/>
            <w:bottom w:val="none" w:sz="0" w:space="0" w:color="auto"/>
            <w:right w:val="none" w:sz="0" w:space="0" w:color="auto"/>
          </w:divBdr>
        </w:div>
        <w:div w:id="2112970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RBI5PAMIO524-1616901215-33280</_dlc_DocId>
    <_dlc_DocIdUrl xmlns="71c5aaf6-e6ce-465b-b873-5148d2a4c105">
      <Url>https://nokia.sharepoint.com/sites/gxp/_layouts/15/DocIdRedir.aspx?ID=RBI5PAMIO524-1616901215-33280</Url>
      <Description>RBI5PAMIO524-1616901215-33280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489BAC-7351-4555-B5A4-F4D4FCFDD23D}">
  <ds:schemaRefs>
    <ds:schemaRef ds:uri="http://schemas.openxmlformats.org/officeDocument/2006/bibliography"/>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1359</Words>
  <Characters>7752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Chunli</cp:lastModifiedBy>
  <cp:revision>2</cp:revision>
  <dcterms:created xsi:type="dcterms:W3CDTF">2024-11-08T04:47:00Z</dcterms:created>
  <dcterms:modified xsi:type="dcterms:W3CDTF">2024-11-08T04:47:00Z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58436457-44e2-4dbd-bab2-6fbc4f9723ac</vt:lpwstr>
  </property>
</Properties>
</file>